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5C" w:rsidRDefault="00FD555C" w:rsidP="00FD555C">
      <w:pPr>
        <w:pStyle w:val="berschrift2"/>
      </w:pPr>
      <w:r>
        <w:t xml:space="preserve">Proposal for a paper panel at the </w:t>
      </w:r>
      <w:r w:rsidRPr="00FD555C">
        <w:t>24th International Conference of Europeanists</w:t>
      </w:r>
      <w:r>
        <w:t xml:space="preserve">, </w:t>
      </w:r>
      <w:r>
        <w:rPr>
          <w:sz w:val="21"/>
          <w:szCs w:val="21"/>
        </w:rPr>
        <w:t>University of Glasgow, UK • July 12-14, 2017, o</w:t>
      </w:r>
      <w:r>
        <w:rPr>
          <w:rStyle w:val="Hervorhebung"/>
        </w:rPr>
        <w:t>rganized by the Council for European Studies</w:t>
      </w:r>
    </w:p>
    <w:p w:rsidR="00FD555C" w:rsidRDefault="00FD555C" w:rsidP="00FD555C">
      <w:pPr>
        <w:rPr>
          <w:lang w:val="en-US"/>
        </w:rPr>
      </w:pPr>
    </w:p>
    <w:p w:rsidR="00FD555C" w:rsidRDefault="00FD555C" w:rsidP="00FD555C">
      <w:pPr>
        <w:rPr>
          <w:lang w:val="en-US"/>
        </w:rPr>
      </w:pPr>
    </w:p>
    <w:p w:rsidR="00FD555C" w:rsidRDefault="008B209F" w:rsidP="0016651C">
      <w:pPr>
        <w:pStyle w:val="berschrift1"/>
        <w:rPr>
          <w:lang w:val="en-US"/>
        </w:rPr>
      </w:pPr>
      <w:proofErr w:type="gramStart"/>
      <w:r>
        <w:rPr>
          <w:lang w:val="en-US"/>
        </w:rPr>
        <w:t>Horizontal Europeanization</w:t>
      </w:r>
      <w:r w:rsidR="0016651C">
        <w:rPr>
          <w:lang w:val="en-US"/>
        </w:rPr>
        <w:t>.</w:t>
      </w:r>
      <w:proofErr w:type="gramEnd"/>
      <w:r w:rsidR="0016651C">
        <w:rPr>
          <w:lang w:val="en-US"/>
        </w:rPr>
        <w:t xml:space="preserve"> </w:t>
      </w:r>
      <w:r w:rsidR="0016651C" w:rsidRPr="00DA4FB3">
        <w:rPr>
          <w:szCs w:val="28"/>
          <w:lang w:val="en-US"/>
        </w:rPr>
        <w:t xml:space="preserve">Europe as an emerging social entity </w:t>
      </w:r>
      <w:r w:rsidR="0016651C" w:rsidRPr="00E0716B">
        <w:rPr>
          <w:lang w:val="en-US"/>
        </w:rPr>
        <w:t>between the national and global sphere</w:t>
      </w:r>
    </w:p>
    <w:p w:rsidR="008B209F" w:rsidRDefault="008B209F" w:rsidP="00FD555C">
      <w:pPr>
        <w:rPr>
          <w:lang w:val="en-US"/>
        </w:rPr>
      </w:pPr>
    </w:p>
    <w:p w:rsidR="008B209F" w:rsidRDefault="008B209F" w:rsidP="00FD555C">
      <w:pPr>
        <w:rPr>
          <w:lang w:val="en-US"/>
        </w:rPr>
      </w:pPr>
      <w:r w:rsidRPr="006F497E">
        <w:rPr>
          <w:rStyle w:val="hps"/>
          <w:rFonts w:eastAsiaTheme="majorEastAsia"/>
          <w:lang w:val="en-US"/>
        </w:rPr>
        <w:t>The economic, legal</w:t>
      </w:r>
      <w:r w:rsidRPr="006F497E">
        <w:rPr>
          <w:lang w:val="en-US"/>
        </w:rPr>
        <w:t xml:space="preserve"> </w:t>
      </w:r>
      <w:r w:rsidRPr="006F497E">
        <w:rPr>
          <w:rStyle w:val="hps"/>
          <w:rFonts w:eastAsiaTheme="majorEastAsia"/>
          <w:lang w:val="en-US"/>
        </w:rPr>
        <w:t>and</w:t>
      </w:r>
      <w:r w:rsidRPr="006F497E">
        <w:rPr>
          <w:lang w:val="en-US"/>
        </w:rPr>
        <w:t xml:space="preserve"> </w:t>
      </w:r>
      <w:r w:rsidRPr="006F497E">
        <w:rPr>
          <w:rStyle w:val="hps"/>
          <w:rFonts w:eastAsiaTheme="majorEastAsia"/>
          <w:lang w:val="en-US"/>
        </w:rPr>
        <w:t>political</w:t>
      </w:r>
      <w:r w:rsidRPr="006F497E">
        <w:rPr>
          <w:lang w:val="en-US"/>
        </w:rPr>
        <w:t xml:space="preserve"> </w:t>
      </w:r>
      <w:r w:rsidRPr="006F497E">
        <w:rPr>
          <w:rStyle w:val="hps"/>
          <w:rFonts w:eastAsiaTheme="majorEastAsia"/>
          <w:lang w:val="en-US"/>
        </w:rPr>
        <w:t>integration of Europe is at the core of the process of European integration</w:t>
      </w:r>
      <w:r w:rsidRPr="006F497E">
        <w:rPr>
          <w:lang w:val="en-US"/>
        </w:rPr>
        <w:t xml:space="preserve">. However, </w:t>
      </w:r>
      <w:r w:rsidRPr="006F497E">
        <w:rPr>
          <w:rStyle w:val="hps"/>
          <w:rFonts w:eastAsiaTheme="majorEastAsia"/>
          <w:lang w:val="en-US"/>
        </w:rPr>
        <w:t>in particular</w:t>
      </w:r>
      <w:r w:rsidRPr="006F497E">
        <w:rPr>
          <w:lang w:val="en-US"/>
        </w:rPr>
        <w:t xml:space="preserve"> </w:t>
      </w:r>
      <w:r w:rsidRPr="006F497E">
        <w:rPr>
          <w:rStyle w:val="hps"/>
          <w:rFonts w:eastAsiaTheme="majorEastAsia"/>
          <w:lang w:val="en-US"/>
        </w:rPr>
        <w:t>since the 1990s,</w:t>
      </w:r>
      <w:r w:rsidRPr="006F497E">
        <w:rPr>
          <w:lang w:val="en-US"/>
        </w:rPr>
        <w:t xml:space="preserve"> European integration has given rise </w:t>
      </w:r>
      <w:r w:rsidRPr="006F497E">
        <w:rPr>
          <w:rStyle w:val="hps"/>
          <w:rFonts w:eastAsiaTheme="majorEastAsia"/>
          <w:lang w:val="en-US"/>
        </w:rPr>
        <w:t>to a fundamental</w:t>
      </w:r>
      <w:r w:rsidRPr="006F497E">
        <w:rPr>
          <w:lang w:val="en-US"/>
        </w:rPr>
        <w:t xml:space="preserve"> </w:t>
      </w:r>
      <w:r w:rsidRPr="006F497E">
        <w:rPr>
          <w:rStyle w:val="hps"/>
          <w:rFonts w:eastAsiaTheme="majorEastAsia"/>
          <w:lang w:val="en-US"/>
        </w:rPr>
        <w:t>transformation</w:t>
      </w:r>
      <w:r w:rsidRPr="006F497E">
        <w:rPr>
          <w:lang w:val="en-US"/>
        </w:rPr>
        <w:t xml:space="preserve"> </w:t>
      </w:r>
      <w:r w:rsidRPr="006F497E">
        <w:rPr>
          <w:rStyle w:val="hps"/>
          <w:rFonts w:eastAsiaTheme="majorEastAsia"/>
          <w:lang w:val="en-US"/>
        </w:rPr>
        <w:t>of social relations and</w:t>
      </w:r>
      <w:r w:rsidRPr="006F497E">
        <w:rPr>
          <w:lang w:val="en-US"/>
        </w:rPr>
        <w:t xml:space="preserve"> </w:t>
      </w:r>
      <w:r w:rsidRPr="006F497E">
        <w:rPr>
          <w:rStyle w:val="hps"/>
          <w:rFonts w:eastAsiaTheme="majorEastAsia"/>
          <w:lang w:val="en-US"/>
        </w:rPr>
        <w:t>the</w:t>
      </w:r>
      <w:r w:rsidRPr="006F497E">
        <w:rPr>
          <w:lang w:val="en-US"/>
        </w:rPr>
        <w:t xml:space="preserve"> </w:t>
      </w:r>
      <w:r w:rsidRPr="006F497E">
        <w:rPr>
          <w:rStyle w:val="hps"/>
          <w:rFonts w:eastAsiaTheme="majorEastAsia"/>
          <w:lang w:val="en-US"/>
        </w:rPr>
        <w:t>living worlds of people</w:t>
      </w:r>
      <w:r w:rsidRPr="006F497E">
        <w:rPr>
          <w:lang w:val="en-US"/>
        </w:rPr>
        <w:t xml:space="preserve">. </w:t>
      </w:r>
      <w:r w:rsidRPr="006F497E">
        <w:rPr>
          <w:rStyle w:val="hps"/>
          <w:rFonts w:eastAsiaTheme="majorEastAsia"/>
          <w:lang w:val="en-US"/>
        </w:rPr>
        <w:t>While</w:t>
      </w:r>
      <w:r w:rsidRPr="006F497E">
        <w:rPr>
          <w:lang w:val="en-US"/>
        </w:rPr>
        <w:t xml:space="preserve"> in the postwar period, daily life </w:t>
      </w:r>
      <w:r w:rsidRPr="006F497E">
        <w:rPr>
          <w:rStyle w:val="hps"/>
          <w:rFonts w:eastAsiaTheme="majorEastAsia"/>
          <w:lang w:val="en-US"/>
        </w:rPr>
        <w:t>primarily</w:t>
      </w:r>
      <w:r w:rsidRPr="006F497E">
        <w:rPr>
          <w:lang w:val="en-US"/>
        </w:rPr>
        <w:t xml:space="preserve"> </w:t>
      </w:r>
      <w:r w:rsidRPr="006F497E">
        <w:rPr>
          <w:rStyle w:val="hps"/>
          <w:rFonts w:eastAsiaTheme="majorEastAsia"/>
          <w:lang w:val="en-US"/>
        </w:rPr>
        <w:t>took place</w:t>
      </w:r>
      <w:r w:rsidRPr="006F497E">
        <w:rPr>
          <w:lang w:val="en-US"/>
        </w:rPr>
        <w:t xml:space="preserve"> </w:t>
      </w:r>
      <w:r w:rsidRPr="006F497E">
        <w:rPr>
          <w:rStyle w:val="hps"/>
          <w:rFonts w:eastAsiaTheme="majorEastAsia"/>
          <w:lang w:val="en-US"/>
        </w:rPr>
        <w:t>in the framework</w:t>
      </w:r>
      <w:r w:rsidRPr="006F497E">
        <w:rPr>
          <w:lang w:val="en-US"/>
        </w:rPr>
        <w:t xml:space="preserve"> </w:t>
      </w:r>
      <w:r w:rsidRPr="006F497E">
        <w:rPr>
          <w:rStyle w:val="hps"/>
          <w:rFonts w:eastAsiaTheme="majorEastAsia"/>
          <w:lang w:val="en-US"/>
        </w:rPr>
        <w:t>of</w:t>
      </w:r>
      <w:r w:rsidRPr="006F497E">
        <w:rPr>
          <w:lang w:val="en-US"/>
        </w:rPr>
        <w:t xml:space="preserve"> </w:t>
      </w:r>
      <w:r w:rsidRPr="006F497E">
        <w:rPr>
          <w:rStyle w:val="hps"/>
          <w:rFonts w:eastAsiaTheme="majorEastAsia"/>
          <w:lang w:val="en-US"/>
        </w:rPr>
        <w:t>nation-states</w:t>
      </w:r>
      <w:r w:rsidRPr="006F497E">
        <w:rPr>
          <w:lang w:val="en-US"/>
        </w:rPr>
        <w:t xml:space="preserve">, </w:t>
      </w:r>
      <w:r w:rsidRPr="006F497E">
        <w:rPr>
          <w:rStyle w:val="hps"/>
          <w:rFonts w:eastAsiaTheme="majorEastAsia"/>
          <w:lang w:val="en-US"/>
        </w:rPr>
        <w:t>the</w:t>
      </w:r>
      <w:r w:rsidRPr="006F497E">
        <w:rPr>
          <w:lang w:val="en-US"/>
        </w:rPr>
        <w:t xml:space="preserve"> </w:t>
      </w:r>
      <w:r w:rsidRPr="006F497E">
        <w:rPr>
          <w:rStyle w:val="hps"/>
          <w:rFonts w:eastAsiaTheme="majorEastAsia"/>
          <w:lang w:val="en-US"/>
        </w:rPr>
        <w:t>opening</w:t>
      </w:r>
      <w:r w:rsidRPr="006F497E">
        <w:rPr>
          <w:lang w:val="en-US"/>
        </w:rPr>
        <w:t xml:space="preserve"> of hitherto</w:t>
      </w:r>
      <w:r w:rsidRPr="006F497E">
        <w:rPr>
          <w:rStyle w:val="hps"/>
          <w:rFonts w:eastAsiaTheme="majorEastAsia"/>
          <w:lang w:val="en-US"/>
        </w:rPr>
        <w:t xml:space="preserve"> largely</w:t>
      </w:r>
      <w:r w:rsidRPr="006F497E">
        <w:rPr>
          <w:lang w:val="en-US"/>
        </w:rPr>
        <w:t xml:space="preserve"> </w:t>
      </w:r>
      <w:r w:rsidRPr="006F497E">
        <w:rPr>
          <w:rStyle w:val="hps"/>
          <w:rFonts w:eastAsiaTheme="majorEastAsia"/>
          <w:lang w:val="en-US"/>
        </w:rPr>
        <w:t>nationally regulated</w:t>
      </w:r>
      <w:r w:rsidRPr="006F497E">
        <w:rPr>
          <w:lang w:val="en-US"/>
        </w:rPr>
        <w:t xml:space="preserve"> </w:t>
      </w:r>
      <w:r w:rsidRPr="006F497E">
        <w:rPr>
          <w:rStyle w:val="hps"/>
          <w:rFonts w:eastAsiaTheme="majorEastAsia"/>
          <w:lang w:val="en-US"/>
        </w:rPr>
        <w:t>and limited</w:t>
      </w:r>
      <w:r w:rsidRPr="006F497E">
        <w:rPr>
          <w:lang w:val="en-US"/>
        </w:rPr>
        <w:t xml:space="preserve"> </w:t>
      </w:r>
      <w:r w:rsidRPr="006F497E">
        <w:rPr>
          <w:rStyle w:val="hps"/>
          <w:rFonts w:eastAsiaTheme="majorEastAsia"/>
          <w:lang w:val="en-US"/>
        </w:rPr>
        <w:t>social</w:t>
      </w:r>
      <w:r w:rsidRPr="006F497E">
        <w:rPr>
          <w:lang w:val="en-US"/>
        </w:rPr>
        <w:t xml:space="preserve"> </w:t>
      </w:r>
      <w:r w:rsidRPr="006F497E">
        <w:rPr>
          <w:rStyle w:val="hps"/>
          <w:rFonts w:eastAsiaTheme="majorEastAsia"/>
          <w:lang w:val="en-US"/>
        </w:rPr>
        <w:t>fields</w:t>
      </w:r>
      <w:r w:rsidRPr="006F497E">
        <w:rPr>
          <w:lang w:val="en-US"/>
        </w:rPr>
        <w:t xml:space="preserve"> </w:t>
      </w:r>
      <w:r w:rsidRPr="006F497E">
        <w:rPr>
          <w:rStyle w:val="hps"/>
          <w:rFonts w:eastAsiaTheme="majorEastAsia"/>
          <w:lang w:val="en-US"/>
        </w:rPr>
        <w:t>and spaces</w:t>
      </w:r>
      <w:r w:rsidRPr="006F497E">
        <w:rPr>
          <w:lang w:val="en-US"/>
        </w:rPr>
        <w:t xml:space="preserve"> has fostered </w:t>
      </w:r>
      <w:r w:rsidRPr="006F497E">
        <w:rPr>
          <w:rStyle w:val="hps"/>
          <w:rFonts w:eastAsiaTheme="majorEastAsia"/>
          <w:lang w:val="en-US"/>
        </w:rPr>
        <w:t>increasing</w:t>
      </w:r>
      <w:r w:rsidRPr="006F497E">
        <w:rPr>
          <w:lang w:val="en-US"/>
        </w:rPr>
        <w:t xml:space="preserve"> </w:t>
      </w:r>
      <w:r w:rsidRPr="006F497E">
        <w:rPr>
          <w:rStyle w:val="hps"/>
          <w:rFonts w:eastAsiaTheme="majorEastAsia"/>
          <w:lang w:val="en-US"/>
        </w:rPr>
        <w:t>cross-border</w:t>
      </w:r>
      <w:r w:rsidRPr="006F497E">
        <w:rPr>
          <w:lang w:val="en-US"/>
        </w:rPr>
        <w:t xml:space="preserve"> </w:t>
      </w:r>
      <w:r w:rsidRPr="006F497E">
        <w:rPr>
          <w:rStyle w:val="hps"/>
          <w:rFonts w:eastAsiaTheme="majorEastAsia"/>
          <w:lang w:val="en-US"/>
        </w:rPr>
        <w:t>contacts</w:t>
      </w:r>
      <w:r w:rsidRPr="006F497E">
        <w:rPr>
          <w:lang w:val="en-US"/>
        </w:rPr>
        <w:t xml:space="preserve"> </w:t>
      </w:r>
      <w:r w:rsidRPr="006F497E">
        <w:rPr>
          <w:rStyle w:val="hps"/>
          <w:rFonts w:eastAsiaTheme="majorEastAsia"/>
          <w:lang w:val="en-US"/>
        </w:rPr>
        <w:t>and</w:t>
      </w:r>
      <w:r w:rsidRPr="006F497E">
        <w:rPr>
          <w:lang w:val="en-US"/>
        </w:rPr>
        <w:t xml:space="preserve"> </w:t>
      </w:r>
      <w:r w:rsidRPr="006F497E">
        <w:rPr>
          <w:rStyle w:val="hps"/>
          <w:rFonts w:eastAsiaTheme="majorEastAsia"/>
          <w:lang w:val="en-US"/>
        </w:rPr>
        <w:t>a stronger</w:t>
      </w:r>
      <w:r w:rsidRPr="006F497E">
        <w:rPr>
          <w:lang w:val="en-US"/>
        </w:rPr>
        <w:t xml:space="preserve"> </w:t>
      </w:r>
      <w:r w:rsidRPr="006F497E">
        <w:rPr>
          <w:rStyle w:val="hps"/>
          <w:rFonts w:eastAsiaTheme="majorEastAsia"/>
          <w:lang w:val="en-US"/>
        </w:rPr>
        <w:t>transnationalisation of social interactions</w:t>
      </w:r>
      <w:r w:rsidRPr="006F497E">
        <w:rPr>
          <w:lang w:val="en-US"/>
        </w:rPr>
        <w:t xml:space="preserve">, attitudes and </w:t>
      </w:r>
      <w:r w:rsidRPr="006F497E">
        <w:rPr>
          <w:rStyle w:val="hps"/>
          <w:rFonts w:eastAsiaTheme="majorEastAsia"/>
          <w:lang w:val="en-US"/>
        </w:rPr>
        <w:t>interpretations</w:t>
      </w:r>
      <w:r w:rsidRPr="006F497E">
        <w:rPr>
          <w:lang w:val="en-US"/>
        </w:rPr>
        <w:t xml:space="preserve">. </w:t>
      </w:r>
      <w:r w:rsidRPr="006F497E">
        <w:rPr>
          <w:rStyle w:val="hps"/>
          <w:rFonts w:eastAsiaTheme="majorEastAsia"/>
          <w:lang w:val="en-US"/>
        </w:rPr>
        <w:t>This</w:t>
      </w:r>
      <w:r w:rsidRPr="006F497E">
        <w:rPr>
          <w:lang w:val="en-US"/>
        </w:rPr>
        <w:t xml:space="preserve"> </w:t>
      </w:r>
      <w:r w:rsidRPr="006F497E">
        <w:rPr>
          <w:rStyle w:val="hps"/>
          <w:rFonts w:eastAsiaTheme="majorEastAsia"/>
          <w:lang w:val="en-US"/>
        </w:rPr>
        <w:t>transnationalisation of social</w:t>
      </w:r>
      <w:r w:rsidRPr="006F497E">
        <w:rPr>
          <w:lang w:val="en-US"/>
        </w:rPr>
        <w:t xml:space="preserve"> </w:t>
      </w:r>
      <w:r w:rsidRPr="006F497E">
        <w:rPr>
          <w:rStyle w:val="hps"/>
          <w:rFonts w:eastAsiaTheme="majorEastAsia"/>
          <w:lang w:val="en-US"/>
        </w:rPr>
        <w:t>fields</w:t>
      </w:r>
      <w:r w:rsidRPr="006F497E">
        <w:rPr>
          <w:lang w:val="en-US"/>
        </w:rPr>
        <w:t xml:space="preserve"> </w:t>
      </w:r>
      <w:r w:rsidRPr="006F497E">
        <w:rPr>
          <w:rStyle w:val="hps"/>
          <w:rFonts w:eastAsiaTheme="majorEastAsia"/>
          <w:lang w:val="en-US"/>
        </w:rPr>
        <w:t>and spaces</w:t>
      </w:r>
      <w:r w:rsidRPr="006F497E">
        <w:rPr>
          <w:lang w:val="en-US"/>
        </w:rPr>
        <w:t xml:space="preserve"> as a result of </w:t>
      </w:r>
      <w:r w:rsidRPr="006F497E">
        <w:rPr>
          <w:rStyle w:val="hps"/>
          <w:rFonts w:eastAsiaTheme="majorEastAsia"/>
          <w:lang w:val="en-US"/>
        </w:rPr>
        <w:t>European integration</w:t>
      </w:r>
      <w:r w:rsidRPr="006F497E">
        <w:rPr>
          <w:lang w:val="en-US"/>
        </w:rPr>
        <w:t xml:space="preserve"> l</w:t>
      </w:r>
      <w:r w:rsidRPr="006F497E">
        <w:rPr>
          <w:rStyle w:val="hps"/>
          <w:rFonts w:eastAsiaTheme="majorEastAsia"/>
          <w:lang w:val="en-US"/>
        </w:rPr>
        <w:t>ies at the heart</w:t>
      </w:r>
      <w:r w:rsidRPr="006F497E">
        <w:rPr>
          <w:lang w:val="en-US"/>
        </w:rPr>
        <w:t xml:space="preserve"> </w:t>
      </w:r>
      <w:r w:rsidRPr="006F497E">
        <w:rPr>
          <w:rStyle w:val="hps"/>
          <w:rFonts w:eastAsiaTheme="majorEastAsia"/>
          <w:lang w:val="en-US"/>
        </w:rPr>
        <w:t>of</w:t>
      </w:r>
      <w:r w:rsidRPr="006F497E">
        <w:rPr>
          <w:lang w:val="en-US"/>
        </w:rPr>
        <w:t xml:space="preserve"> t</w:t>
      </w:r>
      <w:r w:rsidRPr="005C51A2">
        <w:rPr>
          <w:rFonts w:eastAsiaTheme="majorEastAsia"/>
          <w:lang w:val="en-US"/>
        </w:rPr>
        <w:t>he</w:t>
      </w:r>
      <w:r w:rsidRPr="005C51A2">
        <w:rPr>
          <w:lang w:val="en-US"/>
        </w:rPr>
        <w:t xml:space="preserve"> </w:t>
      </w:r>
      <w:r>
        <w:rPr>
          <w:lang w:val="en-US"/>
        </w:rPr>
        <w:t>concept of h</w:t>
      </w:r>
      <w:r w:rsidRPr="005C51A2">
        <w:rPr>
          <w:lang w:val="en-US"/>
        </w:rPr>
        <w:t>orizontal Europeanization</w:t>
      </w:r>
      <w:r>
        <w:rPr>
          <w:lang w:val="en-US"/>
        </w:rPr>
        <w:t xml:space="preserve">, which has been developed in relation to the political, supposedly vertical </w:t>
      </w:r>
      <w:r w:rsidRPr="005C51A2">
        <w:rPr>
          <w:lang w:val="en-US"/>
        </w:rPr>
        <w:t>Europe</w:t>
      </w:r>
      <w:r>
        <w:rPr>
          <w:lang w:val="en-US"/>
        </w:rPr>
        <w:t>anization of national political and administrative fields. T</w:t>
      </w:r>
      <w:r w:rsidRPr="006F497E">
        <w:rPr>
          <w:rStyle w:val="hps"/>
          <w:rFonts w:eastAsiaTheme="majorEastAsia"/>
          <w:lang w:val="en-US"/>
        </w:rPr>
        <w:t xml:space="preserve">he focus of </w:t>
      </w:r>
      <w:r>
        <w:rPr>
          <w:rStyle w:val="hps"/>
          <w:rFonts w:eastAsiaTheme="majorEastAsia"/>
          <w:lang w:val="en-US"/>
        </w:rPr>
        <w:t xml:space="preserve">this panel will be </w:t>
      </w:r>
      <w:r w:rsidRPr="006F497E">
        <w:rPr>
          <w:rStyle w:val="hps"/>
          <w:rFonts w:eastAsiaTheme="majorEastAsia"/>
          <w:lang w:val="en-US"/>
        </w:rPr>
        <w:t>horizontal</w:t>
      </w:r>
      <w:r w:rsidRPr="006F497E">
        <w:rPr>
          <w:lang w:val="en-US"/>
        </w:rPr>
        <w:t xml:space="preserve"> </w:t>
      </w:r>
      <w:r w:rsidRPr="006F497E">
        <w:rPr>
          <w:rStyle w:val="hps"/>
          <w:rFonts w:eastAsiaTheme="majorEastAsia"/>
          <w:lang w:val="en-US"/>
        </w:rPr>
        <w:t>Europeanisation processes in academic</w:t>
      </w:r>
      <w:r w:rsidRPr="006F497E">
        <w:rPr>
          <w:lang w:val="en-US"/>
        </w:rPr>
        <w:t xml:space="preserve">, </w:t>
      </w:r>
      <w:r w:rsidRPr="006F497E">
        <w:rPr>
          <w:rStyle w:val="hps"/>
          <w:rFonts w:eastAsiaTheme="majorEastAsia"/>
          <w:lang w:val="en-US"/>
        </w:rPr>
        <w:t>bureaucratic</w:t>
      </w:r>
      <w:r w:rsidRPr="006F497E">
        <w:rPr>
          <w:lang w:val="en-US"/>
        </w:rPr>
        <w:t xml:space="preserve">, </w:t>
      </w:r>
      <w:r w:rsidRPr="006F497E">
        <w:rPr>
          <w:rStyle w:val="hps"/>
          <w:rFonts w:eastAsiaTheme="majorEastAsia"/>
          <w:lang w:val="en-US"/>
        </w:rPr>
        <w:t>professional</w:t>
      </w:r>
      <w:r w:rsidRPr="006F497E">
        <w:rPr>
          <w:lang w:val="en-US"/>
        </w:rPr>
        <w:t xml:space="preserve"> </w:t>
      </w:r>
      <w:r w:rsidRPr="006F497E">
        <w:rPr>
          <w:rStyle w:val="hps"/>
          <w:rFonts w:eastAsiaTheme="majorEastAsia"/>
          <w:lang w:val="en-US"/>
        </w:rPr>
        <w:t>and</w:t>
      </w:r>
      <w:r w:rsidRPr="006F497E">
        <w:rPr>
          <w:lang w:val="en-US"/>
        </w:rPr>
        <w:t xml:space="preserve"> associational </w:t>
      </w:r>
      <w:r w:rsidRPr="006F497E">
        <w:rPr>
          <w:rStyle w:val="hps"/>
          <w:rFonts w:eastAsiaTheme="majorEastAsia"/>
          <w:lang w:val="en-US"/>
        </w:rPr>
        <w:t>fields, as well as</w:t>
      </w:r>
      <w:r w:rsidRPr="006F497E">
        <w:rPr>
          <w:lang w:val="en-US"/>
        </w:rPr>
        <w:t xml:space="preserve"> on related </w:t>
      </w:r>
      <w:r w:rsidRPr="006F497E">
        <w:rPr>
          <w:rStyle w:val="hps"/>
          <w:rFonts w:eastAsiaTheme="majorEastAsia"/>
          <w:lang w:val="en-US"/>
        </w:rPr>
        <w:t>conflicts</w:t>
      </w:r>
      <w:r w:rsidRPr="006F497E">
        <w:rPr>
          <w:lang w:val="en-US"/>
        </w:rPr>
        <w:t xml:space="preserve"> </w:t>
      </w:r>
      <w:r w:rsidRPr="006F497E">
        <w:rPr>
          <w:rStyle w:val="hps"/>
          <w:rFonts w:eastAsiaTheme="majorEastAsia"/>
          <w:lang w:val="en-US"/>
        </w:rPr>
        <w:t>and</w:t>
      </w:r>
      <w:r w:rsidRPr="006F497E">
        <w:rPr>
          <w:lang w:val="en-US"/>
        </w:rPr>
        <w:t xml:space="preserve"> bargaining relations and their </w:t>
      </w:r>
      <w:r w:rsidRPr="006F497E">
        <w:rPr>
          <w:rStyle w:val="hps"/>
          <w:rFonts w:eastAsiaTheme="majorEastAsia"/>
          <w:lang w:val="en-US"/>
        </w:rPr>
        <w:t>impact on</w:t>
      </w:r>
      <w:r w:rsidRPr="006F497E">
        <w:rPr>
          <w:lang w:val="en-US"/>
        </w:rPr>
        <w:t xml:space="preserve"> </w:t>
      </w:r>
      <w:r w:rsidRPr="006F497E">
        <w:rPr>
          <w:rStyle w:val="hps"/>
          <w:rFonts w:eastAsiaTheme="majorEastAsia"/>
          <w:lang w:val="en-US"/>
        </w:rPr>
        <w:t>patterns of social</w:t>
      </w:r>
      <w:r w:rsidRPr="006F497E">
        <w:rPr>
          <w:lang w:val="en-US"/>
        </w:rPr>
        <w:t xml:space="preserve"> inequality</w:t>
      </w:r>
      <w:r w:rsidRPr="006F497E">
        <w:rPr>
          <w:rStyle w:val="hps"/>
          <w:rFonts w:eastAsiaTheme="majorEastAsia"/>
          <w:lang w:val="en-US"/>
        </w:rPr>
        <w:t>.</w:t>
      </w:r>
      <w:r w:rsidRPr="006F497E">
        <w:rPr>
          <w:lang w:val="en-US"/>
        </w:rPr>
        <w:t xml:space="preserve"> </w:t>
      </w:r>
      <w:r w:rsidRPr="006F497E">
        <w:rPr>
          <w:rStyle w:val="hps"/>
          <w:rFonts w:eastAsiaTheme="majorEastAsia"/>
          <w:lang w:val="en-US"/>
        </w:rPr>
        <w:t>Complementary to the</w:t>
      </w:r>
      <w:r w:rsidRPr="006F497E">
        <w:rPr>
          <w:lang w:val="en-US"/>
        </w:rPr>
        <w:t xml:space="preserve"> </w:t>
      </w:r>
      <w:r w:rsidRPr="006F497E">
        <w:rPr>
          <w:rStyle w:val="hps"/>
          <w:rFonts w:eastAsiaTheme="majorEastAsia"/>
          <w:lang w:val="en-US"/>
        </w:rPr>
        <w:t>Europeanisation</w:t>
      </w:r>
      <w:r w:rsidRPr="006F497E">
        <w:rPr>
          <w:lang w:val="en-US"/>
        </w:rPr>
        <w:t xml:space="preserve"> </w:t>
      </w:r>
      <w:r w:rsidRPr="006F497E">
        <w:rPr>
          <w:rStyle w:val="hps"/>
          <w:rFonts w:eastAsiaTheme="majorEastAsia"/>
          <w:lang w:val="en-US"/>
        </w:rPr>
        <w:t>of social fields</w:t>
      </w:r>
      <w:r w:rsidRPr="006F497E">
        <w:rPr>
          <w:lang w:val="en-US"/>
        </w:rPr>
        <w:t xml:space="preserve">, the </w:t>
      </w:r>
      <w:r w:rsidRPr="006F497E">
        <w:rPr>
          <w:rStyle w:val="hps"/>
          <w:rFonts w:eastAsiaTheme="majorEastAsia"/>
          <w:lang w:val="en-US"/>
        </w:rPr>
        <w:t>Europeanisation</w:t>
      </w:r>
      <w:r w:rsidRPr="006F497E">
        <w:rPr>
          <w:lang w:val="en-US"/>
        </w:rPr>
        <w:t xml:space="preserve"> </w:t>
      </w:r>
      <w:r w:rsidRPr="006F497E">
        <w:rPr>
          <w:rStyle w:val="hps"/>
          <w:rFonts w:eastAsiaTheme="majorEastAsia"/>
          <w:lang w:val="en-US"/>
        </w:rPr>
        <w:t>of social space</w:t>
      </w:r>
      <w:r w:rsidRPr="006F497E">
        <w:rPr>
          <w:lang w:val="en-US"/>
        </w:rPr>
        <w:t xml:space="preserve"> </w:t>
      </w:r>
      <w:r w:rsidRPr="006F497E">
        <w:rPr>
          <w:rStyle w:val="hps"/>
          <w:rFonts w:eastAsiaTheme="majorEastAsia"/>
          <w:lang w:val="en-US"/>
        </w:rPr>
        <w:t>(</w:t>
      </w:r>
      <w:r w:rsidRPr="006F497E">
        <w:rPr>
          <w:lang w:val="en-US"/>
        </w:rPr>
        <w:t xml:space="preserve">P. </w:t>
      </w:r>
      <w:r w:rsidRPr="006F497E">
        <w:rPr>
          <w:rStyle w:val="hps"/>
          <w:rFonts w:eastAsiaTheme="majorEastAsia"/>
          <w:lang w:val="en-US"/>
        </w:rPr>
        <w:t>Bourdieu</w:t>
      </w:r>
      <w:r w:rsidRPr="006F497E">
        <w:rPr>
          <w:lang w:val="en-US"/>
        </w:rPr>
        <w:t xml:space="preserve">) </w:t>
      </w:r>
      <w:r>
        <w:rPr>
          <w:rStyle w:val="hps"/>
          <w:rFonts w:eastAsiaTheme="majorEastAsia"/>
          <w:lang w:val="en-US"/>
        </w:rPr>
        <w:t>will be discussed</w:t>
      </w:r>
      <w:r w:rsidRPr="006F497E">
        <w:rPr>
          <w:rStyle w:val="hps"/>
          <w:rFonts w:eastAsiaTheme="majorEastAsia"/>
          <w:lang w:val="en-US"/>
        </w:rPr>
        <w:t>,</w:t>
      </w:r>
      <w:r w:rsidRPr="006F497E">
        <w:rPr>
          <w:lang w:val="en-US"/>
        </w:rPr>
        <w:t xml:space="preserve"> </w:t>
      </w:r>
      <w:r w:rsidRPr="006F497E">
        <w:rPr>
          <w:rStyle w:val="hps"/>
          <w:rFonts w:eastAsiaTheme="majorEastAsia"/>
          <w:lang w:val="en-US"/>
        </w:rPr>
        <w:t>taking the examples of the</w:t>
      </w:r>
      <w:r w:rsidRPr="006F497E">
        <w:rPr>
          <w:lang w:val="en-US"/>
        </w:rPr>
        <w:t xml:space="preserve"> </w:t>
      </w:r>
      <w:r w:rsidRPr="006F497E">
        <w:rPr>
          <w:rStyle w:val="hps"/>
          <w:rFonts w:eastAsiaTheme="majorEastAsia"/>
          <w:lang w:val="en-US"/>
        </w:rPr>
        <w:t>transnationalisation</w:t>
      </w:r>
      <w:r w:rsidRPr="006F497E">
        <w:rPr>
          <w:lang w:val="en-US"/>
        </w:rPr>
        <w:t xml:space="preserve"> </w:t>
      </w:r>
      <w:r w:rsidRPr="006F497E">
        <w:rPr>
          <w:rStyle w:val="hps"/>
          <w:rFonts w:eastAsiaTheme="majorEastAsia"/>
          <w:lang w:val="en-US"/>
        </w:rPr>
        <w:t>of</w:t>
      </w:r>
      <w:r w:rsidRPr="006F497E">
        <w:rPr>
          <w:lang w:val="en-US"/>
        </w:rPr>
        <w:t xml:space="preserve"> </w:t>
      </w:r>
      <w:r w:rsidRPr="006F497E">
        <w:rPr>
          <w:rStyle w:val="hps"/>
          <w:rFonts w:eastAsiaTheme="majorEastAsia"/>
          <w:lang w:val="en-US"/>
        </w:rPr>
        <w:t>everyday practices</w:t>
      </w:r>
      <w:r w:rsidRPr="006F497E">
        <w:rPr>
          <w:lang w:val="en-US"/>
        </w:rPr>
        <w:t xml:space="preserve">, </w:t>
      </w:r>
      <w:r>
        <w:rPr>
          <w:rStyle w:val="hps"/>
          <w:rFonts w:eastAsiaTheme="majorEastAsia"/>
          <w:lang w:val="en-US"/>
        </w:rPr>
        <w:t>solidarities</w:t>
      </w:r>
      <w:r w:rsidRPr="006F497E">
        <w:rPr>
          <w:lang w:val="en-US"/>
        </w:rPr>
        <w:t xml:space="preserve"> </w:t>
      </w:r>
      <w:r w:rsidRPr="006F497E">
        <w:rPr>
          <w:rStyle w:val="hps"/>
          <w:rFonts w:eastAsiaTheme="majorEastAsia"/>
          <w:lang w:val="en-US"/>
        </w:rPr>
        <w:t>and</w:t>
      </w:r>
      <w:r w:rsidRPr="006F497E">
        <w:rPr>
          <w:lang w:val="en-US"/>
        </w:rPr>
        <w:t xml:space="preserve"> </w:t>
      </w:r>
      <w:r w:rsidRPr="006F497E">
        <w:rPr>
          <w:rStyle w:val="hps"/>
          <w:rFonts w:eastAsiaTheme="majorEastAsia"/>
          <w:lang w:val="en-US"/>
        </w:rPr>
        <w:t>reference</w:t>
      </w:r>
      <w:r w:rsidRPr="006F497E">
        <w:rPr>
          <w:lang w:val="en-US"/>
        </w:rPr>
        <w:t xml:space="preserve"> </w:t>
      </w:r>
      <w:r w:rsidRPr="006F497E">
        <w:rPr>
          <w:rStyle w:val="hps"/>
          <w:rFonts w:eastAsiaTheme="majorEastAsia"/>
          <w:lang w:val="en-US"/>
        </w:rPr>
        <w:t>groups of social</w:t>
      </w:r>
      <w:r w:rsidRPr="006F497E">
        <w:rPr>
          <w:lang w:val="en-US"/>
        </w:rPr>
        <w:t xml:space="preserve"> </w:t>
      </w:r>
      <w:r w:rsidRPr="006F497E">
        <w:rPr>
          <w:rStyle w:val="hps"/>
          <w:rFonts w:eastAsiaTheme="majorEastAsia"/>
          <w:lang w:val="en-US"/>
        </w:rPr>
        <w:t>inequalities</w:t>
      </w:r>
      <w:r w:rsidRPr="006F497E">
        <w:rPr>
          <w:lang w:val="en-US"/>
        </w:rPr>
        <w:t xml:space="preserve">. </w:t>
      </w:r>
    </w:p>
    <w:p w:rsidR="00904451" w:rsidRDefault="00904451" w:rsidP="00FD555C">
      <w:pPr>
        <w:rPr>
          <w:lang w:val="en-US"/>
        </w:rPr>
      </w:pPr>
    </w:p>
    <w:p w:rsidR="00420D74" w:rsidRDefault="00420D74">
      <w:pPr>
        <w:spacing w:after="200" w:line="276" w:lineRule="auto"/>
        <w:rPr>
          <w:rFonts w:asciiTheme="majorHAnsi" w:eastAsiaTheme="majorEastAsia" w:hAnsiTheme="majorHAnsi" w:cstheme="majorBidi"/>
          <w:b/>
          <w:bCs/>
          <w:color w:val="4F81BD" w:themeColor="accent1"/>
          <w:sz w:val="26"/>
          <w:szCs w:val="26"/>
        </w:rPr>
      </w:pPr>
      <w:r>
        <w:br w:type="page"/>
      </w:r>
    </w:p>
    <w:p w:rsidR="007964E0" w:rsidRPr="007964E0" w:rsidRDefault="007964E0" w:rsidP="007964E0">
      <w:pPr>
        <w:rPr>
          <w:lang w:val="en-US" w:eastAsia="en-US"/>
        </w:rPr>
      </w:pPr>
      <w:r w:rsidRPr="007964E0">
        <w:rPr>
          <w:lang w:val="en-US" w:eastAsia="en-US"/>
        </w:rPr>
        <w:lastRenderedPageBreak/>
        <w:t>Title:</w:t>
      </w:r>
    </w:p>
    <w:p w:rsidR="007964E0" w:rsidRPr="007964E0" w:rsidRDefault="007964E0" w:rsidP="007964E0">
      <w:pPr>
        <w:rPr>
          <w:lang w:val="en-US" w:eastAsia="en-US"/>
        </w:rPr>
      </w:pPr>
      <w:r w:rsidRPr="007964E0">
        <w:rPr>
          <w:lang w:val="en-US" w:eastAsia="en-US"/>
        </w:rPr>
        <w:t xml:space="preserve">Horizontal Europeanization: Europe as an emerging social entity between the national and the global sphere </w:t>
      </w:r>
    </w:p>
    <w:p w:rsidR="007964E0" w:rsidRPr="007964E0" w:rsidRDefault="007964E0" w:rsidP="007964E0">
      <w:pPr>
        <w:rPr>
          <w:lang w:val="en-US" w:eastAsia="en-US"/>
        </w:rPr>
      </w:pPr>
      <w:r w:rsidRPr="007964E0">
        <w:rPr>
          <w:lang w:val="en-US" w:eastAsia="en-US"/>
        </w:rPr>
        <w:t>Proposal Type:</w:t>
      </w:r>
    </w:p>
    <w:p w:rsidR="007964E0" w:rsidRPr="007964E0" w:rsidRDefault="007964E0" w:rsidP="007964E0">
      <w:pPr>
        <w:rPr>
          <w:lang w:val="en-US" w:eastAsia="en-US"/>
        </w:rPr>
      </w:pPr>
      <w:r w:rsidRPr="007964E0">
        <w:rPr>
          <w:lang w:val="en-US" w:eastAsia="en-US"/>
        </w:rPr>
        <w:t xml:space="preserve">Paper Panel </w:t>
      </w:r>
    </w:p>
    <w:p w:rsidR="007964E0" w:rsidRPr="007964E0" w:rsidRDefault="007964E0" w:rsidP="007964E0">
      <w:pPr>
        <w:rPr>
          <w:lang w:val="en-US" w:eastAsia="en-US"/>
        </w:rPr>
      </w:pPr>
      <w:r w:rsidRPr="007964E0">
        <w:rPr>
          <w:lang w:val="en-US" w:eastAsia="en-US"/>
        </w:rPr>
        <w:t>Research Network:</w:t>
      </w:r>
    </w:p>
    <w:p w:rsidR="007964E0" w:rsidRPr="007964E0" w:rsidRDefault="007964E0" w:rsidP="007964E0">
      <w:pPr>
        <w:rPr>
          <w:lang w:val="en-US" w:eastAsia="en-US"/>
        </w:rPr>
      </w:pPr>
      <w:r w:rsidRPr="007964E0">
        <w:rPr>
          <w:lang w:val="en-US" w:eastAsia="en-US"/>
        </w:rPr>
        <w:t xml:space="preserve">None of the above </w:t>
      </w:r>
    </w:p>
    <w:p w:rsidR="007964E0" w:rsidRPr="007964E0" w:rsidRDefault="007964E0" w:rsidP="007964E0">
      <w:pPr>
        <w:rPr>
          <w:lang w:val="en-US" w:eastAsia="en-US"/>
        </w:rPr>
      </w:pPr>
      <w:r w:rsidRPr="007964E0">
        <w:rPr>
          <w:lang w:val="en-US" w:eastAsia="en-US"/>
        </w:rPr>
        <w:t>Disciplinary Tags:</w:t>
      </w:r>
    </w:p>
    <w:p w:rsidR="007964E0" w:rsidRPr="007964E0" w:rsidRDefault="007964E0" w:rsidP="007964E0">
      <w:pPr>
        <w:rPr>
          <w:lang w:val="en-US" w:eastAsia="en-US"/>
        </w:rPr>
      </w:pPr>
      <w:r w:rsidRPr="007964E0">
        <w:rPr>
          <w:lang w:val="en-US" w:eastAsia="en-US"/>
        </w:rPr>
        <w:t xml:space="preserve">Sociology, Political Science </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lang w:val="en-US" w:eastAsia="en-US"/>
        </w:rPr>
        <w:t>Scheduling Requests:</w:t>
      </w:r>
    </w:p>
    <w:p w:rsidR="007964E0" w:rsidRPr="007964E0" w:rsidRDefault="007964E0" w:rsidP="007964E0">
      <w:pPr>
        <w:rPr>
          <w:lang w:val="en-US" w:eastAsia="en-US"/>
        </w:rPr>
      </w:pPr>
      <w:r w:rsidRPr="007964E0">
        <w:rPr>
          <w:lang w:val="en-US" w:eastAsia="en-US"/>
        </w:rPr>
        <w:t>Special Requests:</w:t>
      </w:r>
    </w:p>
    <w:p w:rsidR="007964E0" w:rsidRPr="007964E0" w:rsidRDefault="007964E0" w:rsidP="007964E0">
      <w:pPr>
        <w:spacing w:before="100" w:beforeAutospacing="1" w:after="100" w:afterAutospacing="1"/>
        <w:rPr>
          <w:lang w:val="en-US" w:eastAsia="en-US"/>
        </w:rPr>
      </w:pPr>
      <w:r w:rsidRPr="007964E0">
        <w:rPr>
          <w:b/>
          <w:bCs/>
          <w:lang w:val="en-US" w:eastAsia="en-US"/>
        </w:rPr>
        <w:t>Session Abstract:</w:t>
      </w:r>
      <w:r w:rsidRPr="007964E0">
        <w:rPr>
          <w:lang w:val="en-US" w:eastAsia="en-US"/>
        </w:rPr>
        <w:t xml:space="preserve"> </w:t>
      </w:r>
    </w:p>
    <w:p w:rsidR="007964E0" w:rsidRPr="007964E0" w:rsidRDefault="007964E0" w:rsidP="007964E0">
      <w:pPr>
        <w:spacing w:before="100" w:beforeAutospacing="1" w:after="100" w:afterAutospacing="1"/>
        <w:rPr>
          <w:lang w:val="en-US" w:eastAsia="en-US"/>
        </w:rPr>
      </w:pPr>
      <w:r w:rsidRPr="007964E0">
        <w:rPr>
          <w:lang w:val="en-US" w:eastAsia="en-US"/>
        </w:rPr>
        <w:t xml:space="preserve">The economic, legal and political integration of Europe is at the core of the process of European integration. However, in particular since the 1990s, European integration has given rise to a fundamental transformation of social relations and the living worlds of people. While in the post-war period, daily life took place primarily in the framework of nation-states, the opening of hitherto largely nationally regulated and limited social fields and spaces has fostered increasing cross-border contacts and a stronger transnationalisation of social interactions, attitudes and interpretations. This transnationalisation of social fields and spaces as a result of European integration is captured by the concept of horizontal Europeanization, which has been developed in relation to the supposedly vertical Europeanization of national political and administrative fields. The focus of this panel will lie on horizontal Europeanisation processes in academic, bureaucratic, professional and associational fields, as well as on the related conflicts and bargaining relations and their impact on patterns of social inequality. Complementary to the Europeanisation of social fields, the Europeanisation of social space (P. Bourdieu) will be discussed, taking the examples of the transnationalisation of everyday practices, solidarities and reference groups of social inequalities. </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lang w:val="en-US" w:eastAsia="en-US"/>
        </w:rPr>
        <w:t>Paper ID# 14800</w:t>
      </w:r>
    </w:p>
    <w:p w:rsidR="007964E0" w:rsidRPr="007964E0" w:rsidRDefault="007964E0" w:rsidP="007964E0">
      <w:pPr>
        <w:rPr>
          <w:lang w:val="en-US" w:eastAsia="en-US"/>
        </w:rPr>
      </w:pPr>
      <w:r w:rsidRPr="007964E0">
        <w:rPr>
          <w:lang w:val="en-US" w:eastAsia="en-US"/>
        </w:rPr>
        <w:t xml:space="preserve">Transnational Attachment </w:t>
      </w:r>
      <w:proofErr w:type="gramStart"/>
      <w:r w:rsidRPr="007964E0">
        <w:rPr>
          <w:lang w:val="en-US" w:eastAsia="en-US"/>
        </w:rPr>
        <w:t>As</w:t>
      </w:r>
      <w:proofErr w:type="gramEnd"/>
      <w:r w:rsidRPr="007964E0">
        <w:rPr>
          <w:lang w:val="en-US" w:eastAsia="en-US"/>
        </w:rPr>
        <w:t xml:space="preserve"> a Mediator Between Cross-Border Interaction and Supranational Identification: Evidence from Europe</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b/>
          <w:bCs/>
          <w:lang w:val="en-US" w:eastAsia="en-US"/>
        </w:rPr>
        <w:t>Jan Delhey</w:t>
      </w:r>
      <w:r w:rsidRPr="007964E0">
        <w:rPr>
          <w:lang w:val="en-US" w:eastAsia="en-US"/>
        </w:rPr>
        <w:t xml:space="preserve">, Emanuel Deutschmann, Monika Verbalyte and Auke Aplowski, Otto-von-Guericke-University of Magdeburg </w:t>
      </w:r>
    </w:p>
    <w:p w:rsidR="007964E0" w:rsidRPr="007964E0" w:rsidRDefault="007964E0" w:rsidP="007964E0">
      <w:pPr>
        <w:rPr>
          <w:lang w:val="en-US" w:eastAsia="en-US"/>
        </w:rPr>
      </w:pPr>
      <w:r w:rsidRPr="007964E0">
        <w:rPr>
          <w:lang w:val="en-US" w:eastAsia="en-US"/>
        </w:rPr>
        <w:br w:type="textWrapping" w:clear="all"/>
      </w:r>
    </w:p>
    <w:p w:rsidR="007964E0" w:rsidRPr="007964E0" w:rsidRDefault="007964E0" w:rsidP="007964E0">
      <w:pPr>
        <w:rPr>
          <w:lang w:val="en-US" w:eastAsia="en-US"/>
        </w:rPr>
      </w:pPr>
      <w:r w:rsidRPr="007964E0">
        <w:rPr>
          <w:lang w:val="en-US" w:eastAsia="en-US"/>
        </w:rPr>
        <w:t>Abstract Text:</w:t>
      </w:r>
    </w:p>
    <w:p w:rsidR="007964E0" w:rsidRPr="007964E0" w:rsidRDefault="007964E0" w:rsidP="007964E0">
      <w:pPr>
        <w:rPr>
          <w:lang w:val="en-US" w:eastAsia="en-US"/>
        </w:rPr>
      </w:pPr>
    </w:p>
    <w:p w:rsidR="007964E0" w:rsidRPr="007964E0" w:rsidRDefault="007964E0" w:rsidP="007964E0">
      <w:pPr>
        <w:spacing w:before="100" w:beforeAutospacing="1" w:after="100" w:afterAutospacing="1"/>
        <w:rPr>
          <w:lang w:val="en-US" w:eastAsia="en-US"/>
        </w:rPr>
      </w:pPr>
      <w:r w:rsidRPr="007964E0">
        <w:rPr>
          <w:lang w:val="en-US" w:eastAsia="en-US"/>
        </w:rPr>
        <w:t xml:space="preserve">Transactionalist theory holds that cross-border transactions breed a sense of community (Deutsch et al. 1957), which works as an important social glue for all regional integration projects. In the sociology of Europe, this sense of community has been chiefly interpreted in terms of a supranational feeling of attachment towards the European Union, European identity, and similar concepts. However, the mechanism by which a typically bilateral transnational experience made </w:t>
      </w:r>
      <w:r w:rsidRPr="007964E0">
        <w:rPr>
          <w:lang w:val="en-US" w:eastAsia="en-US"/>
        </w:rPr>
        <w:lastRenderedPageBreak/>
        <w:t xml:space="preserve">in specific foreign countries translates into a broader positive affect towards a supranational unit such as Europe or the European Union has not been sufficiently examined as yet. In this paper, we test whether transnational attachment (i.e. the feeling of attachment towards a European country other than one’s own) mediates the relationship between cross-border transactions on the one </w:t>
      </w:r>
      <w:proofErr w:type="gramStart"/>
      <w:r w:rsidRPr="007964E0">
        <w:rPr>
          <w:lang w:val="en-US" w:eastAsia="en-US"/>
        </w:rPr>
        <w:t>hand,</w:t>
      </w:r>
      <w:proofErr w:type="gramEnd"/>
      <w:r w:rsidRPr="007964E0">
        <w:rPr>
          <w:lang w:val="en-US" w:eastAsia="en-US"/>
        </w:rPr>
        <w:t xml:space="preserve"> and the feeling of attachment to the European Union on the other hand. Using Eurobarometer data on the EU-27 countries from 2010, we find that transnational attachment indeed mediates the relation between transactions and supranational attachment. A separate analysis for European macro regions further demonstrates that the mediation effect is particularly strong in Southern Europe. </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lang w:val="en-US" w:eastAsia="en-US"/>
        </w:rPr>
        <w:t>Paper ID# 15133</w:t>
      </w:r>
    </w:p>
    <w:p w:rsidR="007964E0" w:rsidRPr="007964E0" w:rsidRDefault="007964E0" w:rsidP="007964E0">
      <w:pPr>
        <w:rPr>
          <w:lang w:val="en-US" w:eastAsia="en-US"/>
        </w:rPr>
      </w:pPr>
      <w:r w:rsidRPr="007964E0">
        <w:rPr>
          <w:lang w:val="en-US" w:eastAsia="en-US"/>
        </w:rPr>
        <w:t>Beyond Capacity, Conditionality, and Compliance – Everyday Practices in the EU-Funding World</w:t>
      </w:r>
    </w:p>
    <w:p w:rsidR="007964E0" w:rsidRPr="007964E0" w:rsidRDefault="007964E0" w:rsidP="007964E0">
      <w:pPr>
        <w:rPr>
          <w:lang w:val="en-US" w:eastAsia="en-US"/>
        </w:rPr>
      </w:pPr>
    </w:p>
    <w:p w:rsidR="007964E0" w:rsidRPr="007964E0" w:rsidRDefault="007964E0" w:rsidP="007964E0">
      <w:pPr>
        <w:rPr>
          <w:lang w:val="de-DE" w:eastAsia="en-US"/>
        </w:rPr>
      </w:pPr>
      <w:r w:rsidRPr="007964E0">
        <w:rPr>
          <w:b/>
          <w:bCs/>
          <w:lang w:val="de-DE" w:eastAsia="en-US"/>
        </w:rPr>
        <w:t>Katharina Zimmermann</w:t>
      </w:r>
      <w:r w:rsidRPr="007964E0">
        <w:rPr>
          <w:lang w:val="de-DE" w:eastAsia="en-US"/>
        </w:rPr>
        <w:t xml:space="preserve">, Humboldt-Universität zu Berlin </w:t>
      </w:r>
    </w:p>
    <w:p w:rsidR="007964E0" w:rsidRPr="007964E0" w:rsidRDefault="007964E0" w:rsidP="007964E0">
      <w:pPr>
        <w:rPr>
          <w:lang w:val="de-DE" w:eastAsia="en-US"/>
        </w:rPr>
      </w:pPr>
      <w:r w:rsidRPr="007964E0">
        <w:rPr>
          <w:lang w:val="de-DE" w:eastAsia="en-US"/>
        </w:rPr>
        <w:br w:type="textWrapping" w:clear="all"/>
      </w:r>
    </w:p>
    <w:p w:rsidR="007964E0" w:rsidRPr="007964E0" w:rsidRDefault="007964E0" w:rsidP="007964E0">
      <w:pPr>
        <w:rPr>
          <w:lang w:val="en-US" w:eastAsia="en-US"/>
        </w:rPr>
      </w:pPr>
      <w:r w:rsidRPr="007964E0">
        <w:rPr>
          <w:lang w:val="en-US" w:eastAsia="en-US"/>
        </w:rPr>
        <w:t>Abstract Text:</w:t>
      </w:r>
    </w:p>
    <w:p w:rsidR="007964E0" w:rsidRPr="007964E0" w:rsidRDefault="007964E0" w:rsidP="007964E0">
      <w:pPr>
        <w:rPr>
          <w:lang w:val="en-US" w:eastAsia="en-US"/>
        </w:rPr>
      </w:pPr>
    </w:p>
    <w:p w:rsidR="007964E0" w:rsidRPr="007964E0" w:rsidRDefault="007964E0" w:rsidP="007964E0">
      <w:pPr>
        <w:spacing w:before="100" w:beforeAutospacing="1" w:after="100" w:afterAutospacing="1"/>
        <w:rPr>
          <w:lang w:val="en-US" w:eastAsia="en-US"/>
        </w:rPr>
      </w:pPr>
      <w:r w:rsidRPr="007964E0">
        <w:rPr>
          <w:lang w:val="en-US" w:eastAsia="en-US"/>
        </w:rPr>
        <w:t xml:space="preserve">The scholarly debate on European funding is strongly shaped by debates on the role of administrative capacities, governance by conditionality, or compliance with EU regulations. However, while these concepts are highly valuable for understanding why and how EU-funding is implemented, they are of little help when it comes to grasping what EU-funding actually means for those who deal with it in their everyday work. Therefore, the proposed paper seeks to go beyond vertical top-down concepts, adopts a more horizontal perspective, and focuses on the subjective perceptions of EU-beneficiaries and how they position themselves in the EU-funding game. By comparing qualitative evidence (documents and expert interviews) from two different funding schemes (the ESF and research funding) in three different countries (Poland, Spain and Germany), the paper aims at mapping beneficiaries’ everyday practices and their subjective perceptions of their work. How do they experience their own capacities in light of the perceived requirements of funding schemes? What does conditionality mean to them and how do they deal with it in their daily work? To what extent do they understand their work as compliance with EU targets? And how are these practices and perceptions linked to both the EU-funding world and the domestic spheres of funding and project work? The empirical answers to these questions will not only provide comparative insights into the everyday practices of EU-beneficiaries, but shall also be fed back into the theoretical concepts of capacities, compliance, and conditionality in order to broaden the analytical scope of these approaches. </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lang w:val="en-US" w:eastAsia="en-US"/>
        </w:rPr>
        <w:t>Paper ID# 15137</w:t>
      </w:r>
    </w:p>
    <w:p w:rsidR="007964E0" w:rsidRPr="007964E0" w:rsidRDefault="007964E0" w:rsidP="007964E0">
      <w:pPr>
        <w:rPr>
          <w:lang w:val="en-US" w:eastAsia="en-US"/>
        </w:rPr>
      </w:pPr>
      <w:r w:rsidRPr="007964E0">
        <w:rPr>
          <w:lang w:val="en-US" w:eastAsia="en-US"/>
        </w:rPr>
        <w:t>The Public Sector Dilemma: Marginal Flexibilization As a Consequence of European Crisis Management and Fiscal Austerity</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b/>
          <w:bCs/>
          <w:lang w:val="en-US" w:eastAsia="en-US"/>
        </w:rPr>
        <w:t>Sven Broschinski</w:t>
      </w:r>
      <w:r w:rsidRPr="007964E0">
        <w:rPr>
          <w:lang w:val="en-US" w:eastAsia="en-US"/>
        </w:rPr>
        <w:t xml:space="preserve"> and Jenny Preunkert, University of Oldenburg </w:t>
      </w:r>
    </w:p>
    <w:p w:rsidR="007964E0" w:rsidRPr="007964E0" w:rsidRDefault="007964E0" w:rsidP="007964E0">
      <w:pPr>
        <w:rPr>
          <w:lang w:val="en-US" w:eastAsia="en-US"/>
        </w:rPr>
      </w:pPr>
      <w:r w:rsidRPr="007964E0">
        <w:rPr>
          <w:lang w:val="en-US" w:eastAsia="en-US"/>
        </w:rPr>
        <w:br w:type="textWrapping" w:clear="all"/>
      </w:r>
    </w:p>
    <w:p w:rsidR="007964E0" w:rsidRPr="007964E0" w:rsidRDefault="007964E0" w:rsidP="007964E0">
      <w:pPr>
        <w:rPr>
          <w:lang w:val="en-US" w:eastAsia="en-US"/>
        </w:rPr>
      </w:pPr>
      <w:r w:rsidRPr="007964E0">
        <w:rPr>
          <w:lang w:val="en-US" w:eastAsia="en-US"/>
        </w:rPr>
        <w:lastRenderedPageBreak/>
        <w:t>Abstract Text:</w:t>
      </w:r>
    </w:p>
    <w:p w:rsidR="007964E0" w:rsidRPr="007964E0" w:rsidRDefault="007964E0" w:rsidP="007964E0">
      <w:pPr>
        <w:rPr>
          <w:lang w:val="en-US" w:eastAsia="en-US"/>
        </w:rPr>
      </w:pPr>
    </w:p>
    <w:p w:rsidR="007964E0" w:rsidRPr="007964E0" w:rsidRDefault="007964E0" w:rsidP="007964E0">
      <w:pPr>
        <w:spacing w:before="100" w:beforeAutospacing="1" w:after="100" w:afterAutospacing="1"/>
        <w:rPr>
          <w:lang w:val="en-US" w:eastAsia="en-US"/>
        </w:rPr>
      </w:pPr>
      <w:r w:rsidRPr="007964E0">
        <w:rPr>
          <w:lang w:val="en-US" w:eastAsia="en-US"/>
        </w:rPr>
        <w:t xml:space="preserve">In the course of the European crisis management, some member states were forced to accept structural reforms and austerity measures in order to get financial support. Against this background, the governments of the concerned countries are faced with a dilemma: On the one hand, they must cut spending and consolidate their budgets in order to show credibility to international lenders. On the other hand, the public sector is a large employer with a strong responsibility for its employees, and its wage and employment policies are under close public scrutiny. In this paper, we employ power resource and labour market theories to analyse which new cleavages or conflicts arise from governments’ solutions to this dilemma and how this affects the working conditions of certain employment groups. Using EU-SILC data from 2010-2014, we find that the solution to the public sector dilemma generally resulted in the transformation of the public wage and employment structure through marginal flexibilization (implying that labour market newcomers are much more affected by job and wage cuts than the established employees), which has led to an increasing dualization along the age dimension. </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lang w:val="en-US" w:eastAsia="en-US"/>
        </w:rPr>
        <w:t>Paper ID# 15319</w:t>
      </w:r>
    </w:p>
    <w:p w:rsidR="007964E0" w:rsidRPr="007964E0" w:rsidRDefault="007964E0" w:rsidP="007964E0">
      <w:pPr>
        <w:rPr>
          <w:lang w:val="en-US" w:eastAsia="en-US"/>
        </w:rPr>
      </w:pPr>
      <w:proofErr w:type="gramStart"/>
      <w:r w:rsidRPr="007964E0">
        <w:rPr>
          <w:lang w:val="en-US" w:eastAsia="en-US"/>
        </w:rPr>
        <w:t>A Transnational Community of Purpose?</w:t>
      </w:r>
      <w:proofErr w:type="gramEnd"/>
      <w:r w:rsidRPr="007964E0">
        <w:rPr>
          <w:lang w:val="en-US" w:eastAsia="en-US"/>
        </w:rPr>
        <w:t xml:space="preserve"> </w:t>
      </w:r>
      <w:proofErr w:type="gramStart"/>
      <w:r w:rsidRPr="007964E0">
        <w:rPr>
          <w:lang w:val="en-US" w:eastAsia="en-US"/>
        </w:rPr>
        <w:t>the</w:t>
      </w:r>
      <w:proofErr w:type="gramEnd"/>
      <w:r w:rsidRPr="007964E0">
        <w:rPr>
          <w:lang w:val="en-US" w:eastAsia="en-US"/>
        </w:rPr>
        <w:t xml:space="preserve"> Professionalization of Lobbyists at the European Union</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b/>
          <w:bCs/>
          <w:lang w:val="en-US" w:eastAsia="en-US"/>
        </w:rPr>
        <w:t>Christian Lahusen</w:t>
      </w:r>
      <w:r w:rsidRPr="007964E0">
        <w:rPr>
          <w:lang w:val="en-US" w:eastAsia="en-US"/>
        </w:rPr>
        <w:t xml:space="preserve"> and Frank Borchers, University of Siegen </w:t>
      </w:r>
    </w:p>
    <w:p w:rsidR="007964E0" w:rsidRPr="007964E0" w:rsidRDefault="007964E0" w:rsidP="007964E0">
      <w:pPr>
        <w:rPr>
          <w:lang w:val="en-US" w:eastAsia="en-US"/>
        </w:rPr>
      </w:pPr>
      <w:r w:rsidRPr="007964E0">
        <w:rPr>
          <w:lang w:val="en-US" w:eastAsia="en-US"/>
        </w:rPr>
        <w:br w:type="textWrapping" w:clear="all"/>
      </w:r>
    </w:p>
    <w:p w:rsidR="007964E0" w:rsidRPr="007964E0" w:rsidRDefault="007964E0" w:rsidP="007964E0">
      <w:pPr>
        <w:rPr>
          <w:lang w:val="en-US" w:eastAsia="en-US"/>
        </w:rPr>
      </w:pPr>
      <w:r w:rsidRPr="007964E0">
        <w:rPr>
          <w:lang w:val="en-US" w:eastAsia="en-US"/>
        </w:rPr>
        <w:t>Abstract Text:</w:t>
      </w:r>
    </w:p>
    <w:p w:rsidR="007964E0" w:rsidRPr="007964E0" w:rsidRDefault="007964E0" w:rsidP="007964E0">
      <w:pPr>
        <w:rPr>
          <w:lang w:val="en-US" w:eastAsia="en-US"/>
        </w:rPr>
      </w:pPr>
    </w:p>
    <w:p w:rsidR="007964E0" w:rsidRPr="007964E0" w:rsidRDefault="007964E0" w:rsidP="007964E0">
      <w:pPr>
        <w:spacing w:before="100" w:beforeAutospacing="1" w:after="100" w:afterAutospacing="1"/>
        <w:rPr>
          <w:lang w:val="en-US" w:eastAsia="en-US"/>
        </w:rPr>
      </w:pPr>
      <w:r w:rsidRPr="007964E0">
        <w:rPr>
          <w:lang w:val="en-US" w:eastAsia="en-US"/>
        </w:rPr>
        <w:t xml:space="preserve">Research in the social sciences has invested considerable effort into describing and analysing EU-lobbying as an organizational field that spans across the EU Member States and beyond. The focus has been placed on organizations (federations, individual representations, NGOs etc.), revealing a high degree of fragmentation and competition within the field. However, little evidence is available on the lobbying personnel. Preliminary studies have shown that EU-lobbyists are part of an occupational field that cuts across the cleavages and fragmentations of the organizational field of EU public affairs. For instance, lobbyists maintain close professional relations to many other colleagues, and their career patterns transgress segmentations between the organizations they have worked for. Brussels is thus a supranational arena that facilitates the emergence of a transnational community of professionals.  This paper will deal with the gradual professionalization of EU-lobbyism and its implications for the field of public affairs. Based on a standardized survey among public affairs professionals registered in the European Transparency Register, the paper will present new data about this professional field, its internal structures and cleavages. On the one hand, the paper will show how this occupational field develops cross-national structures of cooperation, and how it gradually integrates a highly contentious field of competing organizations. On the other hand, the paper will investigate the professional cleavages between contending occupational groups and interests (such as lawyers, social scientists, activists, self-made men etc.) in their aim to define the terms of what the rules of the game are about. </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lang w:val="en-US" w:eastAsia="en-US"/>
        </w:rPr>
        <w:t>Paper ID# 14940</w:t>
      </w:r>
    </w:p>
    <w:p w:rsidR="007964E0" w:rsidRPr="007964E0" w:rsidRDefault="007964E0" w:rsidP="007964E0">
      <w:pPr>
        <w:rPr>
          <w:lang w:val="en-US" w:eastAsia="en-US"/>
        </w:rPr>
      </w:pPr>
      <w:proofErr w:type="gramStart"/>
      <w:r w:rsidRPr="007964E0">
        <w:rPr>
          <w:lang w:val="en-US" w:eastAsia="en-US"/>
        </w:rPr>
        <w:t>Towards the Europeanization of Asylum Procedures?</w:t>
      </w:r>
      <w:proofErr w:type="gramEnd"/>
      <w:r w:rsidRPr="007964E0">
        <w:rPr>
          <w:lang w:val="en-US" w:eastAsia="en-US"/>
        </w:rPr>
        <w:t xml:space="preserve"> Negotiation and Implementation of the ‘Asylum Procedures Directive'</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b/>
          <w:bCs/>
          <w:lang w:val="en-US" w:eastAsia="en-US"/>
        </w:rPr>
        <w:t>Karin Schittenhelm</w:t>
      </w:r>
      <w:r w:rsidRPr="007964E0">
        <w:rPr>
          <w:lang w:val="en-US" w:eastAsia="en-US"/>
        </w:rPr>
        <w:t xml:space="preserve">, University of Siegen </w:t>
      </w:r>
    </w:p>
    <w:p w:rsidR="007964E0" w:rsidRPr="007964E0" w:rsidRDefault="007964E0" w:rsidP="007964E0">
      <w:pPr>
        <w:rPr>
          <w:lang w:val="en-US" w:eastAsia="en-US"/>
        </w:rPr>
      </w:pPr>
      <w:r w:rsidRPr="007964E0">
        <w:rPr>
          <w:lang w:val="en-US" w:eastAsia="en-US"/>
        </w:rPr>
        <w:br w:type="textWrapping" w:clear="all"/>
      </w:r>
    </w:p>
    <w:p w:rsidR="007964E0" w:rsidRPr="007964E0" w:rsidRDefault="007964E0" w:rsidP="007964E0">
      <w:pPr>
        <w:rPr>
          <w:lang w:val="en-US" w:eastAsia="en-US"/>
        </w:rPr>
      </w:pPr>
      <w:r w:rsidRPr="007964E0">
        <w:rPr>
          <w:lang w:val="en-US" w:eastAsia="en-US"/>
        </w:rPr>
        <w:t>Abstract Text:</w:t>
      </w:r>
    </w:p>
    <w:p w:rsidR="007964E0" w:rsidRPr="007964E0" w:rsidRDefault="007964E0" w:rsidP="007964E0">
      <w:pPr>
        <w:rPr>
          <w:lang w:val="en-US" w:eastAsia="en-US"/>
        </w:rPr>
      </w:pPr>
    </w:p>
    <w:p w:rsidR="007964E0" w:rsidRPr="007964E0" w:rsidRDefault="007964E0" w:rsidP="007964E0">
      <w:pPr>
        <w:spacing w:before="100" w:beforeAutospacing="1" w:after="100" w:afterAutospacing="1"/>
        <w:rPr>
          <w:lang w:val="en-US" w:eastAsia="en-US"/>
        </w:rPr>
      </w:pPr>
      <w:r w:rsidRPr="007964E0">
        <w:rPr>
          <w:lang w:val="en-US" w:eastAsia="en-US"/>
        </w:rPr>
        <w:t xml:space="preserve">Despite the goals proclaimed in the evolving ‘Common European Asylum System’, numerous infringement cases indicate failures in implementing asylum legislation in the EU. Focusing on the asylum systems of Germany and Sweden, this paper analyses the case of the ‘Asylum Procedures Directive’. How to translate this directive into practice was the subject of transnational negotiations including the member states’ asylum administrations. During infringement procedures, implementing EU directives is a matter of negotiation between the Commission and the concerned member states. Yet as the analysis will show, even in highly regulated asylum systems, the way in which decision-makers interpret and implement the directives on the work-floor is also a consequence of local conditions at the respective asylum institution. Safeguarding the protection-seekers’ rights as guaranteed in the directives is thus a highly negotiated objective for the Europeanisation of asylum procedures. However, the implementation of the Asylum Procedures Directive in everyday practice, which includes interaction with the applicants, depends on strategies and knowledge resources activated in decision-making procedures within local settings of the administrative field. The researched data include official documents, participant observations and semi-structured interviews with experts and asylum case officers in Germany and Sweden. </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lang w:val="en-US" w:eastAsia="en-US"/>
        </w:rPr>
        <w:t>Paper ID# 14963</w:t>
      </w:r>
    </w:p>
    <w:p w:rsidR="007964E0" w:rsidRPr="007964E0" w:rsidRDefault="007964E0" w:rsidP="007964E0">
      <w:pPr>
        <w:rPr>
          <w:lang w:val="en-US" w:eastAsia="en-US"/>
        </w:rPr>
      </w:pPr>
      <w:r w:rsidRPr="007964E0">
        <w:rPr>
          <w:lang w:val="en-US" w:eastAsia="en-US"/>
        </w:rPr>
        <w:t>The Contested Constitution of Wage Coordinating Institutions in Social Services from a Multi-Scalar Perspective</w:t>
      </w:r>
    </w:p>
    <w:p w:rsidR="007964E0" w:rsidRPr="007964E0" w:rsidRDefault="007964E0" w:rsidP="007964E0">
      <w:pPr>
        <w:rPr>
          <w:lang w:val="en-US" w:eastAsia="en-US"/>
        </w:rPr>
      </w:pPr>
    </w:p>
    <w:p w:rsidR="007964E0" w:rsidRPr="007964E0" w:rsidRDefault="007964E0" w:rsidP="007964E0">
      <w:pPr>
        <w:rPr>
          <w:lang w:val="en-US" w:eastAsia="en-US"/>
        </w:rPr>
      </w:pPr>
      <w:r w:rsidRPr="007964E0">
        <w:rPr>
          <w:b/>
          <w:bCs/>
          <w:lang w:val="en-US" w:eastAsia="en-US"/>
        </w:rPr>
        <w:t>Nele Dittmar</w:t>
      </w:r>
      <w:r w:rsidRPr="007964E0">
        <w:rPr>
          <w:lang w:val="en-US" w:eastAsia="en-US"/>
        </w:rPr>
        <w:t xml:space="preserve">, University of Linz </w:t>
      </w:r>
    </w:p>
    <w:p w:rsidR="007964E0" w:rsidRPr="007964E0" w:rsidRDefault="007964E0" w:rsidP="007964E0">
      <w:pPr>
        <w:rPr>
          <w:lang w:val="en-US" w:eastAsia="en-US"/>
        </w:rPr>
      </w:pPr>
      <w:r w:rsidRPr="007964E0">
        <w:rPr>
          <w:lang w:val="en-US" w:eastAsia="en-US"/>
        </w:rPr>
        <w:br w:type="textWrapping" w:clear="all"/>
      </w:r>
    </w:p>
    <w:p w:rsidR="007964E0" w:rsidRPr="007964E0" w:rsidRDefault="007964E0" w:rsidP="007964E0">
      <w:pPr>
        <w:rPr>
          <w:lang w:val="en-US" w:eastAsia="en-US"/>
        </w:rPr>
      </w:pPr>
      <w:r w:rsidRPr="007964E0">
        <w:rPr>
          <w:lang w:val="en-US" w:eastAsia="en-US"/>
        </w:rPr>
        <w:t>Abstract Text:</w:t>
      </w:r>
    </w:p>
    <w:p w:rsidR="007964E0" w:rsidRPr="007964E0" w:rsidRDefault="007964E0" w:rsidP="007964E0">
      <w:pPr>
        <w:rPr>
          <w:lang w:val="en-US" w:eastAsia="en-US"/>
        </w:rPr>
      </w:pPr>
    </w:p>
    <w:p w:rsidR="007964E0" w:rsidRPr="007964E0" w:rsidRDefault="007964E0" w:rsidP="007964E0">
      <w:pPr>
        <w:spacing w:before="100" w:beforeAutospacing="1" w:after="100" w:afterAutospacing="1"/>
        <w:rPr>
          <w:lang w:val="en-US" w:eastAsia="en-US"/>
        </w:rPr>
      </w:pPr>
      <w:r w:rsidRPr="007964E0">
        <w:rPr>
          <w:lang w:val="en-US" w:eastAsia="en-US"/>
        </w:rPr>
        <w:t xml:space="preserve">European political programs of economic liberalism and public austerity have sought to restructure the provision of social services in the EU member states. Hence, market competition, the emergence of large transnational corporations in certain subsectors such as elderly care, and migration processes have increased pressures on wages and working conditions in social services. While cross-country comparative perspectives perceive these material and symbolic changes as external challenges which – being contingent on the state of national employment systems – induce different responses of trade unions, employers and state actors, we assume that local and national actors and institutions facilitate or inhibit market competition. The structuring of a European field of orthodox (wage competition) and heterodox norms and ideas (wage bargaining </w:t>
      </w:r>
      <w:r w:rsidRPr="007964E0">
        <w:rPr>
          <w:lang w:val="en-US" w:eastAsia="en-US"/>
        </w:rPr>
        <w:lastRenderedPageBreak/>
        <w:t xml:space="preserve">coordination) in economic and employment policies is therefore seen as an outcome of historical and contemporary struggles between actors at various spatial scales. Our focus lies on the evolution, maintenance or disruption of wage-bargaining institutions in the social services sectors of Germany and Austria. German policy and industrial relations actors are assumed to have paved the way for the privatization and marketization of public services, which in turn influenced European policies. Austria, in comparison, provides an example in which national actors’ commitment towards inter- and intra-class coordination has been continuously (re-)produced and enforced by a strong social partnership. This in turn has led to the creation of collective bargaining institutions in the formerly excluded social services sector. </w:t>
      </w:r>
    </w:p>
    <w:p w:rsidR="00420D74" w:rsidRDefault="00420D74" w:rsidP="007964E0">
      <w:pPr>
        <w:pStyle w:val="berschrift2"/>
        <w:rPr>
          <w:lang w:val="en-US"/>
        </w:rPr>
      </w:pPr>
      <w:bookmarkStart w:id="0" w:name="_GoBack"/>
      <w:bookmarkEnd w:id="0"/>
    </w:p>
    <w:sectPr w:rsidR="00420D74" w:rsidSect="00420D74">
      <w:headerReference w:type="default" r:id="rId8"/>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A2" w:rsidRDefault="009E2AA2" w:rsidP="00420D74">
      <w:r>
        <w:separator/>
      </w:r>
    </w:p>
  </w:endnote>
  <w:endnote w:type="continuationSeparator" w:id="0">
    <w:p w:rsidR="009E2AA2" w:rsidRDefault="009E2AA2" w:rsidP="0042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A2" w:rsidRDefault="009E2AA2" w:rsidP="00420D74">
      <w:r>
        <w:separator/>
      </w:r>
    </w:p>
  </w:footnote>
  <w:footnote w:type="continuationSeparator" w:id="0">
    <w:p w:rsidR="009E2AA2" w:rsidRDefault="009E2AA2" w:rsidP="00420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96044"/>
      <w:docPartObj>
        <w:docPartGallery w:val="Page Numbers (Top of Page)"/>
        <w:docPartUnique/>
      </w:docPartObj>
    </w:sdtPr>
    <w:sdtEndPr/>
    <w:sdtContent>
      <w:p w:rsidR="00420D74" w:rsidRDefault="00420D74">
        <w:pPr>
          <w:pStyle w:val="Kopfzeile"/>
          <w:jc w:val="center"/>
        </w:pPr>
        <w:r>
          <w:fldChar w:fldCharType="begin"/>
        </w:r>
        <w:r>
          <w:instrText>PAGE   \* MERGEFORMAT</w:instrText>
        </w:r>
        <w:r>
          <w:fldChar w:fldCharType="separate"/>
        </w:r>
        <w:r w:rsidR="007964E0" w:rsidRPr="007964E0">
          <w:rPr>
            <w:noProof/>
            <w:lang w:val="de-DE"/>
          </w:rPr>
          <w:t>5</w:t>
        </w:r>
        <w:r>
          <w:fldChar w:fldCharType="end"/>
        </w:r>
      </w:p>
    </w:sdtContent>
  </w:sdt>
  <w:p w:rsidR="00420D74" w:rsidRDefault="00420D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420A"/>
    <w:multiLevelType w:val="hybridMultilevel"/>
    <w:tmpl w:val="BE94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5C"/>
    <w:rsid w:val="0016651C"/>
    <w:rsid w:val="00420D74"/>
    <w:rsid w:val="00522E2B"/>
    <w:rsid w:val="006465A5"/>
    <w:rsid w:val="007964E0"/>
    <w:rsid w:val="008B209F"/>
    <w:rsid w:val="00904451"/>
    <w:rsid w:val="009E2AA2"/>
    <w:rsid w:val="00D043C8"/>
    <w:rsid w:val="00D15456"/>
    <w:rsid w:val="00FD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55C"/>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rsid w:val="00FD555C"/>
    <w:pPr>
      <w:outlineLvl w:val="0"/>
    </w:pPr>
    <w:rPr>
      <w:b/>
      <w:sz w:val="32"/>
    </w:rPr>
  </w:style>
  <w:style w:type="paragraph" w:styleId="berschrift2">
    <w:name w:val="heading 2"/>
    <w:basedOn w:val="Standard"/>
    <w:next w:val="Standard"/>
    <w:link w:val="berschrift2Zchn"/>
    <w:uiPriority w:val="9"/>
    <w:unhideWhenUsed/>
    <w:qFormat/>
    <w:rsid w:val="00FD5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D555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555C"/>
    <w:rPr>
      <w:rFonts w:ascii="Times New Roman" w:eastAsia="Times New Roman" w:hAnsi="Times New Roman" w:cs="Times New Roman"/>
      <w:b/>
      <w:sz w:val="32"/>
      <w:szCs w:val="24"/>
      <w:lang w:val="en-GB" w:eastAsia="en-GB"/>
    </w:rPr>
  </w:style>
  <w:style w:type="paragraph" w:customStyle="1" w:styleId="Standardeinzug">
    <w:name w:val="Standard_einzug"/>
    <w:basedOn w:val="Standard"/>
    <w:link w:val="StandardeinzugZchn"/>
    <w:qFormat/>
    <w:rsid w:val="00FD555C"/>
    <w:pPr>
      <w:autoSpaceDE w:val="0"/>
      <w:autoSpaceDN w:val="0"/>
      <w:adjustRightInd w:val="0"/>
      <w:ind w:firstLine="284"/>
    </w:pPr>
    <w:rPr>
      <w:sz w:val="22"/>
    </w:rPr>
  </w:style>
  <w:style w:type="character" w:customStyle="1" w:styleId="StandardeinzugZchn">
    <w:name w:val="Standard_einzug Zchn"/>
    <w:link w:val="Standardeinzug"/>
    <w:rsid w:val="00FD555C"/>
    <w:rPr>
      <w:rFonts w:ascii="Times New Roman" w:eastAsia="Times New Roman" w:hAnsi="Times New Roman" w:cs="Times New Roman"/>
      <w:szCs w:val="24"/>
      <w:lang w:val="en-GB" w:eastAsia="en-GB"/>
    </w:rPr>
  </w:style>
  <w:style w:type="paragraph" w:customStyle="1" w:styleId="StandardohneEinzug">
    <w:name w:val="Standard_ohneEinzug"/>
    <w:basedOn w:val="Standardeinzug"/>
    <w:link w:val="StandardohneEinzugZchn"/>
    <w:qFormat/>
    <w:rsid w:val="00FD555C"/>
    <w:pPr>
      <w:ind w:firstLine="0"/>
    </w:pPr>
  </w:style>
  <w:style w:type="character" w:customStyle="1" w:styleId="StandardohneEinzugZchn">
    <w:name w:val="Standard_ohneEinzug Zchn"/>
    <w:link w:val="StandardohneEinzug"/>
    <w:rsid w:val="00FD555C"/>
    <w:rPr>
      <w:rFonts w:ascii="Times New Roman" w:eastAsia="Times New Roman" w:hAnsi="Times New Roman" w:cs="Times New Roman"/>
      <w:szCs w:val="24"/>
      <w:lang w:val="en-GB" w:eastAsia="en-GB"/>
    </w:rPr>
  </w:style>
  <w:style w:type="character" w:customStyle="1" w:styleId="berschrift2Zchn">
    <w:name w:val="Überschrift 2 Zchn"/>
    <w:basedOn w:val="Absatz-Standardschriftart"/>
    <w:link w:val="berschrift2"/>
    <w:uiPriority w:val="9"/>
    <w:rsid w:val="00FD555C"/>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uiPriority w:val="9"/>
    <w:semiHidden/>
    <w:rsid w:val="00FD555C"/>
    <w:rPr>
      <w:rFonts w:asciiTheme="majorHAnsi" w:eastAsiaTheme="majorEastAsia" w:hAnsiTheme="majorHAnsi" w:cstheme="majorBidi"/>
      <w:b/>
      <w:bCs/>
      <w:color w:val="4F81BD" w:themeColor="accent1"/>
      <w:sz w:val="24"/>
      <w:szCs w:val="24"/>
      <w:lang w:val="en-GB" w:eastAsia="en-GB"/>
    </w:rPr>
  </w:style>
  <w:style w:type="character" w:styleId="Hyperlink">
    <w:name w:val="Hyperlink"/>
    <w:basedOn w:val="Absatz-Standardschriftart"/>
    <w:uiPriority w:val="99"/>
    <w:semiHidden/>
    <w:unhideWhenUsed/>
    <w:rsid w:val="00FD555C"/>
    <w:rPr>
      <w:color w:val="0000FF"/>
      <w:u w:val="single"/>
    </w:rPr>
  </w:style>
  <w:style w:type="paragraph" w:styleId="StandardWeb">
    <w:name w:val="Normal (Web)"/>
    <w:basedOn w:val="Standard"/>
    <w:uiPriority w:val="99"/>
    <w:semiHidden/>
    <w:unhideWhenUsed/>
    <w:rsid w:val="00FD555C"/>
    <w:pPr>
      <w:spacing w:before="100" w:beforeAutospacing="1" w:after="100" w:afterAutospacing="1"/>
    </w:pPr>
    <w:rPr>
      <w:lang w:val="en-US" w:eastAsia="en-US"/>
    </w:rPr>
  </w:style>
  <w:style w:type="character" w:styleId="Hervorhebung">
    <w:name w:val="Emphasis"/>
    <w:basedOn w:val="Absatz-Standardschriftart"/>
    <w:uiPriority w:val="20"/>
    <w:qFormat/>
    <w:rsid w:val="00FD555C"/>
    <w:rPr>
      <w:i/>
      <w:iCs/>
    </w:rPr>
  </w:style>
  <w:style w:type="character" w:customStyle="1" w:styleId="hps">
    <w:name w:val="hps"/>
    <w:basedOn w:val="Absatz-Standardschriftart"/>
    <w:rsid w:val="008B209F"/>
  </w:style>
  <w:style w:type="paragraph" w:styleId="Sprechblasentext">
    <w:name w:val="Balloon Text"/>
    <w:basedOn w:val="Standard"/>
    <w:link w:val="SprechblasentextZchn"/>
    <w:uiPriority w:val="99"/>
    <w:semiHidden/>
    <w:unhideWhenUsed/>
    <w:rsid w:val="00522E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E2B"/>
    <w:rPr>
      <w:rFonts w:ascii="Tahoma" w:eastAsia="Times New Roman" w:hAnsi="Tahoma" w:cs="Tahoma"/>
      <w:sz w:val="16"/>
      <w:szCs w:val="16"/>
      <w:lang w:val="en-GB" w:eastAsia="en-GB"/>
    </w:rPr>
  </w:style>
  <w:style w:type="paragraph" w:styleId="Kopfzeile">
    <w:name w:val="header"/>
    <w:basedOn w:val="Standard"/>
    <w:link w:val="KopfzeileZchn"/>
    <w:uiPriority w:val="99"/>
    <w:unhideWhenUsed/>
    <w:rsid w:val="00420D74"/>
    <w:pPr>
      <w:tabs>
        <w:tab w:val="center" w:pos="4703"/>
        <w:tab w:val="right" w:pos="9406"/>
      </w:tabs>
    </w:pPr>
  </w:style>
  <w:style w:type="character" w:customStyle="1" w:styleId="KopfzeileZchn">
    <w:name w:val="Kopfzeile Zchn"/>
    <w:basedOn w:val="Absatz-Standardschriftart"/>
    <w:link w:val="Kopfzeile"/>
    <w:uiPriority w:val="99"/>
    <w:rsid w:val="00420D74"/>
    <w:rPr>
      <w:rFonts w:ascii="Times New Roman" w:eastAsia="Times New Roman" w:hAnsi="Times New Roman" w:cs="Times New Roman"/>
      <w:sz w:val="24"/>
      <w:szCs w:val="24"/>
      <w:lang w:val="en-GB" w:eastAsia="en-GB"/>
    </w:rPr>
  </w:style>
  <w:style w:type="paragraph" w:styleId="Fuzeile">
    <w:name w:val="footer"/>
    <w:basedOn w:val="Standard"/>
    <w:link w:val="FuzeileZchn"/>
    <w:uiPriority w:val="99"/>
    <w:unhideWhenUsed/>
    <w:rsid w:val="00420D74"/>
    <w:pPr>
      <w:tabs>
        <w:tab w:val="center" w:pos="4703"/>
        <w:tab w:val="right" w:pos="9406"/>
      </w:tabs>
    </w:pPr>
  </w:style>
  <w:style w:type="character" w:customStyle="1" w:styleId="FuzeileZchn">
    <w:name w:val="Fußzeile Zchn"/>
    <w:basedOn w:val="Absatz-Standardschriftart"/>
    <w:link w:val="Fuzeile"/>
    <w:uiPriority w:val="99"/>
    <w:rsid w:val="00420D74"/>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55C"/>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uiPriority w:val="9"/>
    <w:qFormat/>
    <w:rsid w:val="00FD555C"/>
    <w:pPr>
      <w:outlineLvl w:val="0"/>
    </w:pPr>
    <w:rPr>
      <w:b/>
      <w:sz w:val="32"/>
    </w:rPr>
  </w:style>
  <w:style w:type="paragraph" w:styleId="berschrift2">
    <w:name w:val="heading 2"/>
    <w:basedOn w:val="Standard"/>
    <w:next w:val="Standard"/>
    <w:link w:val="berschrift2Zchn"/>
    <w:uiPriority w:val="9"/>
    <w:unhideWhenUsed/>
    <w:qFormat/>
    <w:rsid w:val="00FD5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D555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555C"/>
    <w:rPr>
      <w:rFonts w:ascii="Times New Roman" w:eastAsia="Times New Roman" w:hAnsi="Times New Roman" w:cs="Times New Roman"/>
      <w:b/>
      <w:sz w:val="32"/>
      <w:szCs w:val="24"/>
      <w:lang w:val="en-GB" w:eastAsia="en-GB"/>
    </w:rPr>
  </w:style>
  <w:style w:type="paragraph" w:customStyle="1" w:styleId="Standardeinzug">
    <w:name w:val="Standard_einzug"/>
    <w:basedOn w:val="Standard"/>
    <w:link w:val="StandardeinzugZchn"/>
    <w:qFormat/>
    <w:rsid w:val="00FD555C"/>
    <w:pPr>
      <w:autoSpaceDE w:val="0"/>
      <w:autoSpaceDN w:val="0"/>
      <w:adjustRightInd w:val="0"/>
      <w:ind w:firstLine="284"/>
    </w:pPr>
    <w:rPr>
      <w:sz w:val="22"/>
    </w:rPr>
  </w:style>
  <w:style w:type="character" w:customStyle="1" w:styleId="StandardeinzugZchn">
    <w:name w:val="Standard_einzug Zchn"/>
    <w:link w:val="Standardeinzug"/>
    <w:rsid w:val="00FD555C"/>
    <w:rPr>
      <w:rFonts w:ascii="Times New Roman" w:eastAsia="Times New Roman" w:hAnsi="Times New Roman" w:cs="Times New Roman"/>
      <w:szCs w:val="24"/>
      <w:lang w:val="en-GB" w:eastAsia="en-GB"/>
    </w:rPr>
  </w:style>
  <w:style w:type="paragraph" w:customStyle="1" w:styleId="StandardohneEinzug">
    <w:name w:val="Standard_ohneEinzug"/>
    <w:basedOn w:val="Standardeinzug"/>
    <w:link w:val="StandardohneEinzugZchn"/>
    <w:qFormat/>
    <w:rsid w:val="00FD555C"/>
    <w:pPr>
      <w:ind w:firstLine="0"/>
    </w:pPr>
  </w:style>
  <w:style w:type="character" w:customStyle="1" w:styleId="StandardohneEinzugZchn">
    <w:name w:val="Standard_ohneEinzug Zchn"/>
    <w:link w:val="StandardohneEinzug"/>
    <w:rsid w:val="00FD555C"/>
    <w:rPr>
      <w:rFonts w:ascii="Times New Roman" w:eastAsia="Times New Roman" w:hAnsi="Times New Roman" w:cs="Times New Roman"/>
      <w:szCs w:val="24"/>
      <w:lang w:val="en-GB" w:eastAsia="en-GB"/>
    </w:rPr>
  </w:style>
  <w:style w:type="character" w:customStyle="1" w:styleId="berschrift2Zchn">
    <w:name w:val="Überschrift 2 Zchn"/>
    <w:basedOn w:val="Absatz-Standardschriftart"/>
    <w:link w:val="berschrift2"/>
    <w:uiPriority w:val="9"/>
    <w:rsid w:val="00FD555C"/>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uiPriority w:val="9"/>
    <w:semiHidden/>
    <w:rsid w:val="00FD555C"/>
    <w:rPr>
      <w:rFonts w:asciiTheme="majorHAnsi" w:eastAsiaTheme="majorEastAsia" w:hAnsiTheme="majorHAnsi" w:cstheme="majorBidi"/>
      <w:b/>
      <w:bCs/>
      <w:color w:val="4F81BD" w:themeColor="accent1"/>
      <w:sz w:val="24"/>
      <w:szCs w:val="24"/>
      <w:lang w:val="en-GB" w:eastAsia="en-GB"/>
    </w:rPr>
  </w:style>
  <w:style w:type="character" w:styleId="Hyperlink">
    <w:name w:val="Hyperlink"/>
    <w:basedOn w:val="Absatz-Standardschriftart"/>
    <w:uiPriority w:val="99"/>
    <w:semiHidden/>
    <w:unhideWhenUsed/>
    <w:rsid w:val="00FD555C"/>
    <w:rPr>
      <w:color w:val="0000FF"/>
      <w:u w:val="single"/>
    </w:rPr>
  </w:style>
  <w:style w:type="paragraph" w:styleId="StandardWeb">
    <w:name w:val="Normal (Web)"/>
    <w:basedOn w:val="Standard"/>
    <w:uiPriority w:val="99"/>
    <w:semiHidden/>
    <w:unhideWhenUsed/>
    <w:rsid w:val="00FD555C"/>
    <w:pPr>
      <w:spacing w:before="100" w:beforeAutospacing="1" w:after="100" w:afterAutospacing="1"/>
    </w:pPr>
    <w:rPr>
      <w:lang w:val="en-US" w:eastAsia="en-US"/>
    </w:rPr>
  </w:style>
  <w:style w:type="character" w:styleId="Hervorhebung">
    <w:name w:val="Emphasis"/>
    <w:basedOn w:val="Absatz-Standardschriftart"/>
    <w:uiPriority w:val="20"/>
    <w:qFormat/>
    <w:rsid w:val="00FD555C"/>
    <w:rPr>
      <w:i/>
      <w:iCs/>
    </w:rPr>
  </w:style>
  <w:style w:type="character" w:customStyle="1" w:styleId="hps">
    <w:name w:val="hps"/>
    <w:basedOn w:val="Absatz-Standardschriftart"/>
    <w:rsid w:val="008B209F"/>
  </w:style>
  <w:style w:type="paragraph" w:styleId="Sprechblasentext">
    <w:name w:val="Balloon Text"/>
    <w:basedOn w:val="Standard"/>
    <w:link w:val="SprechblasentextZchn"/>
    <w:uiPriority w:val="99"/>
    <w:semiHidden/>
    <w:unhideWhenUsed/>
    <w:rsid w:val="00522E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E2B"/>
    <w:rPr>
      <w:rFonts w:ascii="Tahoma" w:eastAsia="Times New Roman" w:hAnsi="Tahoma" w:cs="Tahoma"/>
      <w:sz w:val="16"/>
      <w:szCs w:val="16"/>
      <w:lang w:val="en-GB" w:eastAsia="en-GB"/>
    </w:rPr>
  </w:style>
  <w:style w:type="paragraph" w:styleId="Kopfzeile">
    <w:name w:val="header"/>
    <w:basedOn w:val="Standard"/>
    <w:link w:val="KopfzeileZchn"/>
    <w:uiPriority w:val="99"/>
    <w:unhideWhenUsed/>
    <w:rsid w:val="00420D74"/>
    <w:pPr>
      <w:tabs>
        <w:tab w:val="center" w:pos="4703"/>
        <w:tab w:val="right" w:pos="9406"/>
      </w:tabs>
    </w:pPr>
  </w:style>
  <w:style w:type="character" w:customStyle="1" w:styleId="KopfzeileZchn">
    <w:name w:val="Kopfzeile Zchn"/>
    <w:basedOn w:val="Absatz-Standardschriftart"/>
    <w:link w:val="Kopfzeile"/>
    <w:uiPriority w:val="99"/>
    <w:rsid w:val="00420D74"/>
    <w:rPr>
      <w:rFonts w:ascii="Times New Roman" w:eastAsia="Times New Roman" w:hAnsi="Times New Roman" w:cs="Times New Roman"/>
      <w:sz w:val="24"/>
      <w:szCs w:val="24"/>
      <w:lang w:val="en-GB" w:eastAsia="en-GB"/>
    </w:rPr>
  </w:style>
  <w:style w:type="paragraph" w:styleId="Fuzeile">
    <w:name w:val="footer"/>
    <w:basedOn w:val="Standard"/>
    <w:link w:val="FuzeileZchn"/>
    <w:uiPriority w:val="99"/>
    <w:unhideWhenUsed/>
    <w:rsid w:val="00420D74"/>
    <w:pPr>
      <w:tabs>
        <w:tab w:val="center" w:pos="4703"/>
        <w:tab w:val="right" w:pos="9406"/>
      </w:tabs>
    </w:pPr>
  </w:style>
  <w:style w:type="character" w:customStyle="1" w:styleId="FuzeileZchn">
    <w:name w:val="Fußzeile Zchn"/>
    <w:basedOn w:val="Absatz-Standardschriftart"/>
    <w:link w:val="Fuzeile"/>
    <w:uiPriority w:val="99"/>
    <w:rsid w:val="00420D7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5168">
      <w:bodyDiv w:val="1"/>
      <w:marLeft w:val="0"/>
      <w:marRight w:val="0"/>
      <w:marTop w:val="0"/>
      <w:marBottom w:val="0"/>
      <w:divBdr>
        <w:top w:val="none" w:sz="0" w:space="0" w:color="auto"/>
        <w:left w:val="none" w:sz="0" w:space="0" w:color="auto"/>
        <w:bottom w:val="none" w:sz="0" w:space="0" w:color="auto"/>
        <w:right w:val="none" w:sz="0" w:space="0" w:color="auto"/>
      </w:divBdr>
      <w:divsChild>
        <w:div w:id="1775980113">
          <w:marLeft w:val="0"/>
          <w:marRight w:val="0"/>
          <w:marTop w:val="0"/>
          <w:marBottom w:val="0"/>
          <w:divBdr>
            <w:top w:val="none" w:sz="0" w:space="0" w:color="auto"/>
            <w:left w:val="none" w:sz="0" w:space="0" w:color="auto"/>
            <w:bottom w:val="none" w:sz="0" w:space="0" w:color="auto"/>
            <w:right w:val="none" w:sz="0" w:space="0" w:color="auto"/>
          </w:divBdr>
          <w:divsChild>
            <w:div w:id="1736129052">
              <w:marLeft w:val="0"/>
              <w:marRight w:val="0"/>
              <w:marTop w:val="0"/>
              <w:marBottom w:val="0"/>
              <w:divBdr>
                <w:top w:val="none" w:sz="0" w:space="0" w:color="auto"/>
                <w:left w:val="none" w:sz="0" w:space="0" w:color="auto"/>
                <w:bottom w:val="none" w:sz="0" w:space="0" w:color="auto"/>
                <w:right w:val="none" w:sz="0" w:space="0" w:color="auto"/>
              </w:divBdr>
              <w:divsChild>
                <w:div w:id="1167331161">
                  <w:marLeft w:val="0"/>
                  <w:marRight w:val="0"/>
                  <w:marTop w:val="0"/>
                  <w:marBottom w:val="0"/>
                  <w:divBdr>
                    <w:top w:val="none" w:sz="0" w:space="0" w:color="auto"/>
                    <w:left w:val="none" w:sz="0" w:space="0" w:color="auto"/>
                    <w:bottom w:val="none" w:sz="0" w:space="0" w:color="auto"/>
                    <w:right w:val="none" w:sz="0" w:space="0" w:color="auto"/>
                  </w:divBdr>
                  <w:divsChild>
                    <w:div w:id="2040549937">
                      <w:marLeft w:val="0"/>
                      <w:marRight w:val="0"/>
                      <w:marTop w:val="0"/>
                      <w:marBottom w:val="0"/>
                      <w:divBdr>
                        <w:top w:val="none" w:sz="0" w:space="0" w:color="auto"/>
                        <w:left w:val="none" w:sz="0" w:space="0" w:color="auto"/>
                        <w:bottom w:val="none" w:sz="0" w:space="0" w:color="auto"/>
                        <w:right w:val="none" w:sz="0" w:space="0" w:color="auto"/>
                      </w:divBdr>
                      <w:divsChild>
                        <w:div w:id="883832684">
                          <w:marLeft w:val="0"/>
                          <w:marRight w:val="0"/>
                          <w:marTop w:val="0"/>
                          <w:marBottom w:val="0"/>
                          <w:divBdr>
                            <w:top w:val="none" w:sz="0" w:space="0" w:color="auto"/>
                            <w:left w:val="none" w:sz="0" w:space="0" w:color="auto"/>
                            <w:bottom w:val="none" w:sz="0" w:space="0" w:color="auto"/>
                            <w:right w:val="none" w:sz="0" w:space="0" w:color="auto"/>
                          </w:divBdr>
                          <w:divsChild>
                            <w:div w:id="1530215736">
                              <w:marLeft w:val="0"/>
                              <w:marRight w:val="0"/>
                              <w:marTop w:val="0"/>
                              <w:marBottom w:val="0"/>
                              <w:divBdr>
                                <w:top w:val="none" w:sz="0" w:space="0" w:color="auto"/>
                                <w:left w:val="none" w:sz="0" w:space="0" w:color="auto"/>
                                <w:bottom w:val="none" w:sz="0" w:space="0" w:color="auto"/>
                                <w:right w:val="none" w:sz="0" w:space="0" w:color="auto"/>
                              </w:divBdr>
                            </w:div>
                          </w:divsChild>
                        </w:div>
                        <w:div w:id="1815950563">
                          <w:marLeft w:val="0"/>
                          <w:marRight w:val="0"/>
                          <w:marTop w:val="0"/>
                          <w:marBottom w:val="0"/>
                          <w:divBdr>
                            <w:top w:val="none" w:sz="0" w:space="0" w:color="auto"/>
                            <w:left w:val="none" w:sz="0" w:space="0" w:color="auto"/>
                            <w:bottom w:val="none" w:sz="0" w:space="0" w:color="auto"/>
                            <w:right w:val="none" w:sz="0" w:space="0" w:color="auto"/>
                          </w:divBdr>
                          <w:divsChild>
                            <w:div w:id="1362322319">
                              <w:marLeft w:val="0"/>
                              <w:marRight w:val="0"/>
                              <w:marTop w:val="0"/>
                              <w:marBottom w:val="0"/>
                              <w:divBdr>
                                <w:top w:val="none" w:sz="0" w:space="0" w:color="auto"/>
                                <w:left w:val="none" w:sz="0" w:space="0" w:color="auto"/>
                                <w:bottom w:val="none" w:sz="0" w:space="0" w:color="auto"/>
                                <w:right w:val="none" w:sz="0" w:space="0" w:color="auto"/>
                              </w:divBdr>
                            </w:div>
                            <w:div w:id="347681047">
                              <w:marLeft w:val="0"/>
                              <w:marRight w:val="0"/>
                              <w:marTop w:val="0"/>
                              <w:marBottom w:val="0"/>
                              <w:divBdr>
                                <w:top w:val="none" w:sz="0" w:space="0" w:color="auto"/>
                                <w:left w:val="none" w:sz="0" w:space="0" w:color="auto"/>
                                <w:bottom w:val="none" w:sz="0" w:space="0" w:color="auto"/>
                                <w:right w:val="none" w:sz="0" w:space="0" w:color="auto"/>
                              </w:divBdr>
                              <w:divsChild>
                                <w:div w:id="147091221">
                                  <w:marLeft w:val="0"/>
                                  <w:marRight w:val="0"/>
                                  <w:marTop w:val="0"/>
                                  <w:marBottom w:val="0"/>
                                  <w:divBdr>
                                    <w:top w:val="none" w:sz="0" w:space="0" w:color="auto"/>
                                    <w:left w:val="none" w:sz="0" w:space="0" w:color="auto"/>
                                    <w:bottom w:val="none" w:sz="0" w:space="0" w:color="auto"/>
                                    <w:right w:val="none" w:sz="0" w:space="0" w:color="auto"/>
                                  </w:divBdr>
                                </w:div>
                              </w:divsChild>
                            </w:div>
                            <w:div w:id="749739543">
                              <w:marLeft w:val="0"/>
                              <w:marRight w:val="0"/>
                              <w:marTop w:val="0"/>
                              <w:marBottom w:val="0"/>
                              <w:divBdr>
                                <w:top w:val="none" w:sz="0" w:space="0" w:color="auto"/>
                                <w:left w:val="none" w:sz="0" w:space="0" w:color="auto"/>
                                <w:bottom w:val="none" w:sz="0" w:space="0" w:color="auto"/>
                                <w:right w:val="none" w:sz="0" w:space="0" w:color="auto"/>
                              </w:divBdr>
                              <w:divsChild>
                                <w:div w:id="1214197851">
                                  <w:marLeft w:val="0"/>
                                  <w:marRight w:val="0"/>
                                  <w:marTop w:val="0"/>
                                  <w:marBottom w:val="0"/>
                                  <w:divBdr>
                                    <w:top w:val="none" w:sz="0" w:space="0" w:color="auto"/>
                                    <w:left w:val="none" w:sz="0" w:space="0" w:color="auto"/>
                                    <w:bottom w:val="none" w:sz="0" w:space="0" w:color="auto"/>
                                    <w:right w:val="none" w:sz="0" w:space="0" w:color="auto"/>
                                  </w:divBdr>
                                </w:div>
                              </w:divsChild>
                            </w:div>
                            <w:div w:id="241335099">
                              <w:marLeft w:val="0"/>
                              <w:marRight w:val="0"/>
                              <w:marTop w:val="0"/>
                              <w:marBottom w:val="0"/>
                              <w:divBdr>
                                <w:top w:val="none" w:sz="0" w:space="0" w:color="auto"/>
                                <w:left w:val="none" w:sz="0" w:space="0" w:color="auto"/>
                                <w:bottom w:val="none" w:sz="0" w:space="0" w:color="auto"/>
                                <w:right w:val="none" w:sz="0" w:space="0" w:color="auto"/>
                              </w:divBdr>
                              <w:divsChild>
                                <w:div w:id="1608610724">
                                  <w:marLeft w:val="0"/>
                                  <w:marRight w:val="0"/>
                                  <w:marTop w:val="0"/>
                                  <w:marBottom w:val="0"/>
                                  <w:divBdr>
                                    <w:top w:val="none" w:sz="0" w:space="0" w:color="auto"/>
                                    <w:left w:val="none" w:sz="0" w:space="0" w:color="auto"/>
                                    <w:bottom w:val="none" w:sz="0" w:space="0" w:color="auto"/>
                                    <w:right w:val="none" w:sz="0" w:space="0" w:color="auto"/>
                                  </w:divBdr>
                                </w:div>
                              </w:divsChild>
                            </w:div>
                            <w:div w:id="868495382">
                              <w:marLeft w:val="0"/>
                              <w:marRight w:val="0"/>
                              <w:marTop w:val="0"/>
                              <w:marBottom w:val="0"/>
                              <w:divBdr>
                                <w:top w:val="none" w:sz="0" w:space="0" w:color="auto"/>
                                <w:left w:val="none" w:sz="0" w:space="0" w:color="auto"/>
                                <w:bottom w:val="none" w:sz="0" w:space="0" w:color="auto"/>
                                <w:right w:val="none" w:sz="0" w:space="0" w:color="auto"/>
                              </w:divBdr>
                              <w:divsChild>
                                <w:div w:id="986321205">
                                  <w:marLeft w:val="0"/>
                                  <w:marRight w:val="0"/>
                                  <w:marTop w:val="0"/>
                                  <w:marBottom w:val="0"/>
                                  <w:divBdr>
                                    <w:top w:val="none" w:sz="0" w:space="0" w:color="auto"/>
                                    <w:left w:val="none" w:sz="0" w:space="0" w:color="auto"/>
                                    <w:bottom w:val="none" w:sz="0" w:space="0" w:color="auto"/>
                                    <w:right w:val="none" w:sz="0" w:space="0" w:color="auto"/>
                                  </w:divBdr>
                                </w:div>
                              </w:divsChild>
                            </w:div>
                            <w:div w:id="2034846531">
                              <w:marLeft w:val="0"/>
                              <w:marRight w:val="0"/>
                              <w:marTop w:val="0"/>
                              <w:marBottom w:val="0"/>
                              <w:divBdr>
                                <w:top w:val="none" w:sz="0" w:space="0" w:color="auto"/>
                                <w:left w:val="none" w:sz="0" w:space="0" w:color="auto"/>
                                <w:bottom w:val="none" w:sz="0" w:space="0" w:color="auto"/>
                                <w:right w:val="none" w:sz="0" w:space="0" w:color="auto"/>
                              </w:divBdr>
                              <w:divsChild>
                                <w:div w:id="16805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6799">
                          <w:marLeft w:val="0"/>
                          <w:marRight w:val="0"/>
                          <w:marTop w:val="0"/>
                          <w:marBottom w:val="0"/>
                          <w:divBdr>
                            <w:top w:val="none" w:sz="0" w:space="0" w:color="auto"/>
                            <w:left w:val="none" w:sz="0" w:space="0" w:color="auto"/>
                            <w:bottom w:val="none" w:sz="0" w:space="0" w:color="auto"/>
                            <w:right w:val="none" w:sz="0" w:space="0" w:color="auto"/>
                          </w:divBdr>
                          <w:divsChild>
                            <w:div w:id="54742227">
                              <w:marLeft w:val="0"/>
                              <w:marRight w:val="0"/>
                              <w:marTop w:val="0"/>
                              <w:marBottom w:val="0"/>
                              <w:divBdr>
                                <w:top w:val="none" w:sz="0" w:space="0" w:color="auto"/>
                                <w:left w:val="none" w:sz="0" w:space="0" w:color="auto"/>
                                <w:bottom w:val="none" w:sz="0" w:space="0" w:color="auto"/>
                                <w:right w:val="none" w:sz="0" w:space="0" w:color="auto"/>
                              </w:divBdr>
                            </w:div>
                            <w:div w:id="1639341776">
                              <w:marLeft w:val="0"/>
                              <w:marRight w:val="0"/>
                              <w:marTop w:val="0"/>
                              <w:marBottom w:val="0"/>
                              <w:divBdr>
                                <w:top w:val="none" w:sz="0" w:space="0" w:color="auto"/>
                                <w:left w:val="none" w:sz="0" w:space="0" w:color="auto"/>
                                <w:bottom w:val="none" w:sz="0" w:space="0" w:color="auto"/>
                                <w:right w:val="none" w:sz="0" w:space="0" w:color="auto"/>
                              </w:divBdr>
                            </w:div>
                            <w:div w:id="1876694216">
                              <w:marLeft w:val="0"/>
                              <w:marRight w:val="0"/>
                              <w:marTop w:val="0"/>
                              <w:marBottom w:val="0"/>
                              <w:divBdr>
                                <w:top w:val="none" w:sz="0" w:space="0" w:color="auto"/>
                                <w:left w:val="none" w:sz="0" w:space="0" w:color="auto"/>
                                <w:bottom w:val="none" w:sz="0" w:space="0" w:color="auto"/>
                                <w:right w:val="none" w:sz="0" w:space="0" w:color="auto"/>
                              </w:divBdr>
                            </w:div>
                            <w:div w:id="1315336434">
                              <w:marLeft w:val="0"/>
                              <w:marRight w:val="0"/>
                              <w:marTop w:val="0"/>
                              <w:marBottom w:val="0"/>
                              <w:divBdr>
                                <w:top w:val="none" w:sz="0" w:space="0" w:color="auto"/>
                                <w:left w:val="none" w:sz="0" w:space="0" w:color="auto"/>
                                <w:bottom w:val="none" w:sz="0" w:space="0" w:color="auto"/>
                                <w:right w:val="none" w:sz="0" w:space="0" w:color="auto"/>
                              </w:divBdr>
                              <w:divsChild>
                                <w:div w:id="2030638584">
                                  <w:marLeft w:val="0"/>
                                  <w:marRight w:val="0"/>
                                  <w:marTop w:val="0"/>
                                  <w:marBottom w:val="0"/>
                                  <w:divBdr>
                                    <w:top w:val="none" w:sz="0" w:space="0" w:color="auto"/>
                                    <w:left w:val="none" w:sz="0" w:space="0" w:color="auto"/>
                                    <w:bottom w:val="none" w:sz="0" w:space="0" w:color="auto"/>
                                    <w:right w:val="none" w:sz="0" w:space="0" w:color="auto"/>
                                  </w:divBdr>
                                  <w:divsChild>
                                    <w:div w:id="15228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160">
                              <w:marLeft w:val="0"/>
                              <w:marRight w:val="0"/>
                              <w:marTop w:val="0"/>
                              <w:marBottom w:val="0"/>
                              <w:divBdr>
                                <w:top w:val="none" w:sz="0" w:space="0" w:color="auto"/>
                                <w:left w:val="none" w:sz="0" w:space="0" w:color="auto"/>
                                <w:bottom w:val="none" w:sz="0" w:space="0" w:color="auto"/>
                                <w:right w:val="none" w:sz="0" w:space="0" w:color="auto"/>
                              </w:divBdr>
                            </w:div>
                            <w:div w:id="1659916409">
                              <w:marLeft w:val="0"/>
                              <w:marRight w:val="0"/>
                              <w:marTop w:val="0"/>
                              <w:marBottom w:val="0"/>
                              <w:divBdr>
                                <w:top w:val="none" w:sz="0" w:space="0" w:color="auto"/>
                                <w:left w:val="none" w:sz="0" w:space="0" w:color="auto"/>
                                <w:bottom w:val="none" w:sz="0" w:space="0" w:color="auto"/>
                                <w:right w:val="none" w:sz="0" w:space="0" w:color="auto"/>
                              </w:divBdr>
                            </w:div>
                            <w:div w:id="1278683011">
                              <w:marLeft w:val="0"/>
                              <w:marRight w:val="0"/>
                              <w:marTop w:val="0"/>
                              <w:marBottom w:val="0"/>
                              <w:divBdr>
                                <w:top w:val="none" w:sz="0" w:space="0" w:color="auto"/>
                                <w:left w:val="none" w:sz="0" w:space="0" w:color="auto"/>
                                <w:bottom w:val="none" w:sz="0" w:space="0" w:color="auto"/>
                                <w:right w:val="none" w:sz="0" w:space="0" w:color="auto"/>
                              </w:divBdr>
                            </w:div>
                            <w:div w:id="916938333">
                              <w:marLeft w:val="0"/>
                              <w:marRight w:val="0"/>
                              <w:marTop w:val="0"/>
                              <w:marBottom w:val="0"/>
                              <w:divBdr>
                                <w:top w:val="none" w:sz="0" w:space="0" w:color="auto"/>
                                <w:left w:val="none" w:sz="0" w:space="0" w:color="auto"/>
                                <w:bottom w:val="none" w:sz="0" w:space="0" w:color="auto"/>
                                <w:right w:val="none" w:sz="0" w:space="0" w:color="auto"/>
                              </w:divBdr>
                              <w:divsChild>
                                <w:div w:id="1709987354">
                                  <w:marLeft w:val="0"/>
                                  <w:marRight w:val="0"/>
                                  <w:marTop w:val="0"/>
                                  <w:marBottom w:val="0"/>
                                  <w:divBdr>
                                    <w:top w:val="none" w:sz="0" w:space="0" w:color="auto"/>
                                    <w:left w:val="none" w:sz="0" w:space="0" w:color="auto"/>
                                    <w:bottom w:val="none" w:sz="0" w:space="0" w:color="auto"/>
                                    <w:right w:val="none" w:sz="0" w:space="0" w:color="auto"/>
                                  </w:divBdr>
                                  <w:divsChild>
                                    <w:div w:id="13164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5688">
                              <w:marLeft w:val="0"/>
                              <w:marRight w:val="0"/>
                              <w:marTop w:val="0"/>
                              <w:marBottom w:val="0"/>
                              <w:divBdr>
                                <w:top w:val="none" w:sz="0" w:space="0" w:color="auto"/>
                                <w:left w:val="none" w:sz="0" w:space="0" w:color="auto"/>
                                <w:bottom w:val="none" w:sz="0" w:space="0" w:color="auto"/>
                                <w:right w:val="none" w:sz="0" w:space="0" w:color="auto"/>
                              </w:divBdr>
                            </w:div>
                            <w:div w:id="731663293">
                              <w:marLeft w:val="0"/>
                              <w:marRight w:val="0"/>
                              <w:marTop w:val="0"/>
                              <w:marBottom w:val="0"/>
                              <w:divBdr>
                                <w:top w:val="none" w:sz="0" w:space="0" w:color="auto"/>
                                <w:left w:val="none" w:sz="0" w:space="0" w:color="auto"/>
                                <w:bottom w:val="none" w:sz="0" w:space="0" w:color="auto"/>
                                <w:right w:val="none" w:sz="0" w:space="0" w:color="auto"/>
                              </w:divBdr>
                            </w:div>
                            <w:div w:id="718742733">
                              <w:marLeft w:val="0"/>
                              <w:marRight w:val="0"/>
                              <w:marTop w:val="0"/>
                              <w:marBottom w:val="0"/>
                              <w:divBdr>
                                <w:top w:val="none" w:sz="0" w:space="0" w:color="auto"/>
                                <w:left w:val="none" w:sz="0" w:space="0" w:color="auto"/>
                                <w:bottom w:val="none" w:sz="0" w:space="0" w:color="auto"/>
                                <w:right w:val="none" w:sz="0" w:space="0" w:color="auto"/>
                              </w:divBdr>
                            </w:div>
                            <w:div w:id="1953852719">
                              <w:marLeft w:val="0"/>
                              <w:marRight w:val="0"/>
                              <w:marTop w:val="0"/>
                              <w:marBottom w:val="0"/>
                              <w:divBdr>
                                <w:top w:val="none" w:sz="0" w:space="0" w:color="auto"/>
                                <w:left w:val="none" w:sz="0" w:space="0" w:color="auto"/>
                                <w:bottom w:val="none" w:sz="0" w:space="0" w:color="auto"/>
                                <w:right w:val="none" w:sz="0" w:space="0" w:color="auto"/>
                              </w:divBdr>
                              <w:divsChild>
                                <w:div w:id="810172040">
                                  <w:marLeft w:val="0"/>
                                  <w:marRight w:val="0"/>
                                  <w:marTop w:val="0"/>
                                  <w:marBottom w:val="0"/>
                                  <w:divBdr>
                                    <w:top w:val="none" w:sz="0" w:space="0" w:color="auto"/>
                                    <w:left w:val="none" w:sz="0" w:space="0" w:color="auto"/>
                                    <w:bottom w:val="none" w:sz="0" w:space="0" w:color="auto"/>
                                    <w:right w:val="none" w:sz="0" w:space="0" w:color="auto"/>
                                  </w:divBdr>
                                  <w:divsChild>
                                    <w:div w:id="15989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8560">
                              <w:marLeft w:val="0"/>
                              <w:marRight w:val="0"/>
                              <w:marTop w:val="0"/>
                              <w:marBottom w:val="0"/>
                              <w:divBdr>
                                <w:top w:val="none" w:sz="0" w:space="0" w:color="auto"/>
                                <w:left w:val="none" w:sz="0" w:space="0" w:color="auto"/>
                                <w:bottom w:val="none" w:sz="0" w:space="0" w:color="auto"/>
                                <w:right w:val="none" w:sz="0" w:space="0" w:color="auto"/>
                              </w:divBdr>
                            </w:div>
                            <w:div w:id="2015767535">
                              <w:marLeft w:val="0"/>
                              <w:marRight w:val="0"/>
                              <w:marTop w:val="0"/>
                              <w:marBottom w:val="0"/>
                              <w:divBdr>
                                <w:top w:val="none" w:sz="0" w:space="0" w:color="auto"/>
                                <w:left w:val="none" w:sz="0" w:space="0" w:color="auto"/>
                                <w:bottom w:val="none" w:sz="0" w:space="0" w:color="auto"/>
                                <w:right w:val="none" w:sz="0" w:space="0" w:color="auto"/>
                              </w:divBdr>
                            </w:div>
                            <w:div w:id="361201084">
                              <w:marLeft w:val="0"/>
                              <w:marRight w:val="0"/>
                              <w:marTop w:val="0"/>
                              <w:marBottom w:val="0"/>
                              <w:divBdr>
                                <w:top w:val="none" w:sz="0" w:space="0" w:color="auto"/>
                                <w:left w:val="none" w:sz="0" w:space="0" w:color="auto"/>
                                <w:bottom w:val="none" w:sz="0" w:space="0" w:color="auto"/>
                                <w:right w:val="none" w:sz="0" w:space="0" w:color="auto"/>
                              </w:divBdr>
                            </w:div>
                            <w:div w:id="100540179">
                              <w:marLeft w:val="0"/>
                              <w:marRight w:val="0"/>
                              <w:marTop w:val="0"/>
                              <w:marBottom w:val="0"/>
                              <w:divBdr>
                                <w:top w:val="none" w:sz="0" w:space="0" w:color="auto"/>
                                <w:left w:val="none" w:sz="0" w:space="0" w:color="auto"/>
                                <w:bottom w:val="none" w:sz="0" w:space="0" w:color="auto"/>
                                <w:right w:val="none" w:sz="0" w:space="0" w:color="auto"/>
                              </w:divBdr>
                              <w:divsChild>
                                <w:div w:id="174269789">
                                  <w:marLeft w:val="0"/>
                                  <w:marRight w:val="0"/>
                                  <w:marTop w:val="0"/>
                                  <w:marBottom w:val="0"/>
                                  <w:divBdr>
                                    <w:top w:val="none" w:sz="0" w:space="0" w:color="auto"/>
                                    <w:left w:val="none" w:sz="0" w:space="0" w:color="auto"/>
                                    <w:bottom w:val="none" w:sz="0" w:space="0" w:color="auto"/>
                                    <w:right w:val="none" w:sz="0" w:space="0" w:color="auto"/>
                                  </w:divBdr>
                                  <w:divsChild>
                                    <w:div w:id="9879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1972">
                              <w:marLeft w:val="0"/>
                              <w:marRight w:val="0"/>
                              <w:marTop w:val="0"/>
                              <w:marBottom w:val="0"/>
                              <w:divBdr>
                                <w:top w:val="none" w:sz="0" w:space="0" w:color="auto"/>
                                <w:left w:val="none" w:sz="0" w:space="0" w:color="auto"/>
                                <w:bottom w:val="none" w:sz="0" w:space="0" w:color="auto"/>
                                <w:right w:val="none" w:sz="0" w:space="0" w:color="auto"/>
                              </w:divBdr>
                            </w:div>
                            <w:div w:id="1767842426">
                              <w:marLeft w:val="0"/>
                              <w:marRight w:val="0"/>
                              <w:marTop w:val="0"/>
                              <w:marBottom w:val="0"/>
                              <w:divBdr>
                                <w:top w:val="none" w:sz="0" w:space="0" w:color="auto"/>
                                <w:left w:val="none" w:sz="0" w:space="0" w:color="auto"/>
                                <w:bottom w:val="none" w:sz="0" w:space="0" w:color="auto"/>
                                <w:right w:val="none" w:sz="0" w:space="0" w:color="auto"/>
                              </w:divBdr>
                            </w:div>
                            <w:div w:id="860776367">
                              <w:marLeft w:val="0"/>
                              <w:marRight w:val="0"/>
                              <w:marTop w:val="0"/>
                              <w:marBottom w:val="0"/>
                              <w:divBdr>
                                <w:top w:val="none" w:sz="0" w:space="0" w:color="auto"/>
                                <w:left w:val="none" w:sz="0" w:space="0" w:color="auto"/>
                                <w:bottom w:val="none" w:sz="0" w:space="0" w:color="auto"/>
                                <w:right w:val="none" w:sz="0" w:space="0" w:color="auto"/>
                              </w:divBdr>
                            </w:div>
                            <w:div w:id="648479163">
                              <w:marLeft w:val="0"/>
                              <w:marRight w:val="0"/>
                              <w:marTop w:val="0"/>
                              <w:marBottom w:val="0"/>
                              <w:divBdr>
                                <w:top w:val="none" w:sz="0" w:space="0" w:color="auto"/>
                                <w:left w:val="none" w:sz="0" w:space="0" w:color="auto"/>
                                <w:bottom w:val="none" w:sz="0" w:space="0" w:color="auto"/>
                                <w:right w:val="none" w:sz="0" w:space="0" w:color="auto"/>
                              </w:divBdr>
                              <w:divsChild>
                                <w:div w:id="408424253">
                                  <w:marLeft w:val="0"/>
                                  <w:marRight w:val="0"/>
                                  <w:marTop w:val="0"/>
                                  <w:marBottom w:val="0"/>
                                  <w:divBdr>
                                    <w:top w:val="none" w:sz="0" w:space="0" w:color="auto"/>
                                    <w:left w:val="none" w:sz="0" w:space="0" w:color="auto"/>
                                    <w:bottom w:val="none" w:sz="0" w:space="0" w:color="auto"/>
                                    <w:right w:val="none" w:sz="0" w:space="0" w:color="auto"/>
                                  </w:divBdr>
                                  <w:divsChild>
                                    <w:div w:id="11765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459">
                              <w:marLeft w:val="0"/>
                              <w:marRight w:val="0"/>
                              <w:marTop w:val="0"/>
                              <w:marBottom w:val="0"/>
                              <w:divBdr>
                                <w:top w:val="none" w:sz="0" w:space="0" w:color="auto"/>
                                <w:left w:val="none" w:sz="0" w:space="0" w:color="auto"/>
                                <w:bottom w:val="none" w:sz="0" w:space="0" w:color="auto"/>
                                <w:right w:val="none" w:sz="0" w:space="0" w:color="auto"/>
                              </w:divBdr>
                            </w:div>
                            <w:div w:id="110974755">
                              <w:marLeft w:val="0"/>
                              <w:marRight w:val="0"/>
                              <w:marTop w:val="0"/>
                              <w:marBottom w:val="0"/>
                              <w:divBdr>
                                <w:top w:val="none" w:sz="0" w:space="0" w:color="auto"/>
                                <w:left w:val="none" w:sz="0" w:space="0" w:color="auto"/>
                                <w:bottom w:val="none" w:sz="0" w:space="0" w:color="auto"/>
                                <w:right w:val="none" w:sz="0" w:space="0" w:color="auto"/>
                              </w:divBdr>
                            </w:div>
                            <w:div w:id="1769424920">
                              <w:marLeft w:val="0"/>
                              <w:marRight w:val="0"/>
                              <w:marTop w:val="0"/>
                              <w:marBottom w:val="0"/>
                              <w:divBdr>
                                <w:top w:val="none" w:sz="0" w:space="0" w:color="auto"/>
                                <w:left w:val="none" w:sz="0" w:space="0" w:color="auto"/>
                                <w:bottom w:val="none" w:sz="0" w:space="0" w:color="auto"/>
                                <w:right w:val="none" w:sz="0" w:space="0" w:color="auto"/>
                              </w:divBdr>
                            </w:div>
                            <w:div w:id="414402748">
                              <w:marLeft w:val="0"/>
                              <w:marRight w:val="0"/>
                              <w:marTop w:val="0"/>
                              <w:marBottom w:val="0"/>
                              <w:divBdr>
                                <w:top w:val="none" w:sz="0" w:space="0" w:color="auto"/>
                                <w:left w:val="none" w:sz="0" w:space="0" w:color="auto"/>
                                <w:bottom w:val="none" w:sz="0" w:space="0" w:color="auto"/>
                                <w:right w:val="none" w:sz="0" w:space="0" w:color="auto"/>
                              </w:divBdr>
                              <w:divsChild>
                                <w:div w:id="466512957">
                                  <w:marLeft w:val="0"/>
                                  <w:marRight w:val="0"/>
                                  <w:marTop w:val="0"/>
                                  <w:marBottom w:val="0"/>
                                  <w:divBdr>
                                    <w:top w:val="none" w:sz="0" w:space="0" w:color="auto"/>
                                    <w:left w:val="none" w:sz="0" w:space="0" w:color="auto"/>
                                    <w:bottom w:val="none" w:sz="0" w:space="0" w:color="auto"/>
                                    <w:right w:val="none" w:sz="0" w:space="0" w:color="auto"/>
                                  </w:divBdr>
                                  <w:divsChild>
                                    <w:div w:id="17848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45410">
      <w:bodyDiv w:val="1"/>
      <w:marLeft w:val="0"/>
      <w:marRight w:val="0"/>
      <w:marTop w:val="0"/>
      <w:marBottom w:val="0"/>
      <w:divBdr>
        <w:top w:val="none" w:sz="0" w:space="0" w:color="auto"/>
        <w:left w:val="none" w:sz="0" w:space="0" w:color="auto"/>
        <w:bottom w:val="none" w:sz="0" w:space="0" w:color="auto"/>
        <w:right w:val="none" w:sz="0" w:space="0" w:color="auto"/>
      </w:divBdr>
      <w:divsChild>
        <w:div w:id="1856113507">
          <w:marLeft w:val="0"/>
          <w:marRight w:val="0"/>
          <w:marTop w:val="0"/>
          <w:marBottom w:val="0"/>
          <w:divBdr>
            <w:top w:val="none" w:sz="0" w:space="0" w:color="auto"/>
            <w:left w:val="none" w:sz="0" w:space="0" w:color="auto"/>
            <w:bottom w:val="none" w:sz="0" w:space="0" w:color="auto"/>
            <w:right w:val="none" w:sz="0" w:space="0" w:color="auto"/>
          </w:divBdr>
          <w:divsChild>
            <w:div w:id="1745757092">
              <w:marLeft w:val="0"/>
              <w:marRight w:val="0"/>
              <w:marTop w:val="0"/>
              <w:marBottom w:val="0"/>
              <w:divBdr>
                <w:top w:val="none" w:sz="0" w:space="0" w:color="auto"/>
                <w:left w:val="none" w:sz="0" w:space="0" w:color="auto"/>
                <w:bottom w:val="none" w:sz="0" w:space="0" w:color="auto"/>
                <w:right w:val="none" w:sz="0" w:space="0" w:color="auto"/>
              </w:divBdr>
            </w:div>
          </w:divsChild>
        </w:div>
        <w:div w:id="572668076">
          <w:marLeft w:val="0"/>
          <w:marRight w:val="0"/>
          <w:marTop w:val="0"/>
          <w:marBottom w:val="0"/>
          <w:divBdr>
            <w:top w:val="none" w:sz="0" w:space="0" w:color="auto"/>
            <w:left w:val="none" w:sz="0" w:space="0" w:color="auto"/>
            <w:bottom w:val="none" w:sz="0" w:space="0" w:color="auto"/>
            <w:right w:val="none" w:sz="0" w:space="0" w:color="auto"/>
          </w:divBdr>
          <w:divsChild>
            <w:div w:id="1317688308">
              <w:marLeft w:val="0"/>
              <w:marRight w:val="0"/>
              <w:marTop w:val="0"/>
              <w:marBottom w:val="0"/>
              <w:divBdr>
                <w:top w:val="none" w:sz="0" w:space="0" w:color="auto"/>
                <w:left w:val="none" w:sz="0" w:space="0" w:color="auto"/>
                <w:bottom w:val="none" w:sz="0" w:space="0" w:color="auto"/>
                <w:right w:val="none" w:sz="0" w:space="0" w:color="auto"/>
              </w:divBdr>
            </w:div>
            <w:div w:id="851457197">
              <w:marLeft w:val="0"/>
              <w:marRight w:val="0"/>
              <w:marTop w:val="0"/>
              <w:marBottom w:val="0"/>
              <w:divBdr>
                <w:top w:val="none" w:sz="0" w:space="0" w:color="auto"/>
                <w:left w:val="none" w:sz="0" w:space="0" w:color="auto"/>
                <w:bottom w:val="none" w:sz="0" w:space="0" w:color="auto"/>
                <w:right w:val="none" w:sz="0" w:space="0" w:color="auto"/>
              </w:divBdr>
              <w:divsChild>
                <w:div w:id="1399279019">
                  <w:marLeft w:val="0"/>
                  <w:marRight w:val="0"/>
                  <w:marTop w:val="0"/>
                  <w:marBottom w:val="0"/>
                  <w:divBdr>
                    <w:top w:val="none" w:sz="0" w:space="0" w:color="auto"/>
                    <w:left w:val="none" w:sz="0" w:space="0" w:color="auto"/>
                    <w:bottom w:val="none" w:sz="0" w:space="0" w:color="auto"/>
                    <w:right w:val="none" w:sz="0" w:space="0" w:color="auto"/>
                  </w:divBdr>
                </w:div>
              </w:divsChild>
            </w:div>
            <w:div w:id="1453404854">
              <w:marLeft w:val="0"/>
              <w:marRight w:val="0"/>
              <w:marTop w:val="0"/>
              <w:marBottom w:val="0"/>
              <w:divBdr>
                <w:top w:val="none" w:sz="0" w:space="0" w:color="auto"/>
                <w:left w:val="none" w:sz="0" w:space="0" w:color="auto"/>
                <w:bottom w:val="none" w:sz="0" w:space="0" w:color="auto"/>
                <w:right w:val="none" w:sz="0" w:space="0" w:color="auto"/>
              </w:divBdr>
              <w:divsChild>
                <w:div w:id="1482768534">
                  <w:marLeft w:val="0"/>
                  <w:marRight w:val="0"/>
                  <w:marTop w:val="0"/>
                  <w:marBottom w:val="0"/>
                  <w:divBdr>
                    <w:top w:val="none" w:sz="0" w:space="0" w:color="auto"/>
                    <w:left w:val="none" w:sz="0" w:space="0" w:color="auto"/>
                    <w:bottom w:val="none" w:sz="0" w:space="0" w:color="auto"/>
                    <w:right w:val="none" w:sz="0" w:space="0" w:color="auto"/>
                  </w:divBdr>
                </w:div>
              </w:divsChild>
            </w:div>
            <w:div w:id="91635449">
              <w:marLeft w:val="0"/>
              <w:marRight w:val="0"/>
              <w:marTop w:val="0"/>
              <w:marBottom w:val="0"/>
              <w:divBdr>
                <w:top w:val="none" w:sz="0" w:space="0" w:color="auto"/>
                <w:left w:val="none" w:sz="0" w:space="0" w:color="auto"/>
                <w:bottom w:val="none" w:sz="0" w:space="0" w:color="auto"/>
                <w:right w:val="none" w:sz="0" w:space="0" w:color="auto"/>
              </w:divBdr>
              <w:divsChild>
                <w:div w:id="325086372">
                  <w:marLeft w:val="0"/>
                  <w:marRight w:val="0"/>
                  <w:marTop w:val="0"/>
                  <w:marBottom w:val="0"/>
                  <w:divBdr>
                    <w:top w:val="none" w:sz="0" w:space="0" w:color="auto"/>
                    <w:left w:val="none" w:sz="0" w:space="0" w:color="auto"/>
                    <w:bottom w:val="none" w:sz="0" w:space="0" w:color="auto"/>
                    <w:right w:val="none" w:sz="0" w:space="0" w:color="auto"/>
                  </w:divBdr>
                </w:div>
              </w:divsChild>
            </w:div>
            <w:div w:id="955327706">
              <w:marLeft w:val="0"/>
              <w:marRight w:val="0"/>
              <w:marTop w:val="0"/>
              <w:marBottom w:val="0"/>
              <w:divBdr>
                <w:top w:val="none" w:sz="0" w:space="0" w:color="auto"/>
                <w:left w:val="none" w:sz="0" w:space="0" w:color="auto"/>
                <w:bottom w:val="none" w:sz="0" w:space="0" w:color="auto"/>
                <w:right w:val="none" w:sz="0" w:space="0" w:color="auto"/>
              </w:divBdr>
              <w:divsChild>
                <w:div w:id="1665666737">
                  <w:marLeft w:val="0"/>
                  <w:marRight w:val="0"/>
                  <w:marTop w:val="0"/>
                  <w:marBottom w:val="0"/>
                  <w:divBdr>
                    <w:top w:val="none" w:sz="0" w:space="0" w:color="auto"/>
                    <w:left w:val="none" w:sz="0" w:space="0" w:color="auto"/>
                    <w:bottom w:val="none" w:sz="0" w:space="0" w:color="auto"/>
                    <w:right w:val="none" w:sz="0" w:space="0" w:color="auto"/>
                  </w:divBdr>
                </w:div>
              </w:divsChild>
            </w:div>
            <w:div w:id="338431972">
              <w:marLeft w:val="0"/>
              <w:marRight w:val="0"/>
              <w:marTop w:val="0"/>
              <w:marBottom w:val="0"/>
              <w:divBdr>
                <w:top w:val="none" w:sz="0" w:space="0" w:color="auto"/>
                <w:left w:val="none" w:sz="0" w:space="0" w:color="auto"/>
                <w:bottom w:val="none" w:sz="0" w:space="0" w:color="auto"/>
                <w:right w:val="none" w:sz="0" w:space="0" w:color="auto"/>
              </w:divBdr>
              <w:divsChild>
                <w:div w:id="12545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3355">
          <w:marLeft w:val="0"/>
          <w:marRight w:val="0"/>
          <w:marTop w:val="0"/>
          <w:marBottom w:val="0"/>
          <w:divBdr>
            <w:top w:val="none" w:sz="0" w:space="0" w:color="auto"/>
            <w:left w:val="none" w:sz="0" w:space="0" w:color="auto"/>
            <w:bottom w:val="none" w:sz="0" w:space="0" w:color="auto"/>
            <w:right w:val="none" w:sz="0" w:space="0" w:color="auto"/>
          </w:divBdr>
          <w:divsChild>
            <w:div w:id="812021642">
              <w:marLeft w:val="0"/>
              <w:marRight w:val="0"/>
              <w:marTop w:val="0"/>
              <w:marBottom w:val="0"/>
              <w:divBdr>
                <w:top w:val="none" w:sz="0" w:space="0" w:color="auto"/>
                <w:left w:val="none" w:sz="0" w:space="0" w:color="auto"/>
                <w:bottom w:val="none" w:sz="0" w:space="0" w:color="auto"/>
                <w:right w:val="none" w:sz="0" w:space="0" w:color="auto"/>
              </w:divBdr>
            </w:div>
            <w:div w:id="389812404">
              <w:marLeft w:val="0"/>
              <w:marRight w:val="0"/>
              <w:marTop w:val="0"/>
              <w:marBottom w:val="0"/>
              <w:divBdr>
                <w:top w:val="none" w:sz="0" w:space="0" w:color="auto"/>
                <w:left w:val="none" w:sz="0" w:space="0" w:color="auto"/>
                <w:bottom w:val="none" w:sz="0" w:space="0" w:color="auto"/>
                <w:right w:val="none" w:sz="0" w:space="0" w:color="auto"/>
              </w:divBdr>
            </w:div>
            <w:div w:id="1530950923">
              <w:marLeft w:val="0"/>
              <w:marRight w:val="0"/>
              <w:marTop w:val="0"/>
              <w:marBottom w:val="0"/>
              <w:divBdr>
                <w:top w:val="none" w:sz="0" w:space="0" w:color="auto"/>
                <w:left w:val="none" w:sz="0" w:space="0" w:color="auto"/>
                <w:bottom w:val="none" w:sz="0" w:space="0" w:color="auto"/>
                <w:right w:val="none" w:sz="0" w:space="0" w:color="auto"/>
              </w:divBdr>
            </w:div>
            <w:div w:id="799425148">
              <w:marLeft w:val="0"/>
              <w:marRight w:val="0"/>
              <w:marTop w:val="0"/>
              <w:marBottom w:val="0"/>
              <w:divBdr>
                <w:top w:val="none" w:sz="0" w:space="0" w:color="auto"/>
                <w:left w:val="none" w:sz="0" w:space="0" w:color="auto"/>
                <w:bottom w:val="none" w:sz="0" w:space="0" w:color="auto"/>
                <w:right w:val="none" w:sz="0" w:space="0" w:color="auto"/>
              </w:divBdr>
              <w:divsChild>
                <w:div w:id="1589464818">
                  <w:marLeft w:val="0"/>
                  <w:marRight w:val="0"/>
                  <w:marTop w:val="0"/>
                  <w:marBottom w:val="0"/>
                  <w:divBdr>
                    <w:top w:val="none" w:sz="0" w:space="0" w:color="auto"/>
                    <w:left w:val="none" w:sz="0" w:space="0" w:color="auto"/>
                    <w:bottom w:val="none" w:sz="0" w:space="0" w:color="auto"/>
                    <w:right w:val="none" w:sz="0" w:space="0" w:color="auto"/>
                  </w:divBdr>
                  <w:divsChild>
                    <w:div w:id="1382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5264">
              <w:marLeft w:val="0"/>
              <w:marRight w:val="0"/>
              <w:marTop w:val="0"/>
              <w:marBottom w:val="0"/>
              <w:divBdr>
                <w:top w:val="none" w:sz="0" w:space="0" w:color="auto"/>
                <w:left w:val="none" w:sz="0" w:space="0" w:color="auto"/>
                <w:bottom w:val="none" w:sz="0" w:space="0" w:color="auto"/>
                <w:right w:val="none" w:sz="0" w:space="0" w:color="auto"/>
              </w:divBdr>
            </w:div>
            <w:div w:id="1980567601">
              <w:marLeft w:val="0"/>
              <w:marRight w:val="0"/>
              <w:marTop w:val="0"/>
              <w:marBottom w:val="0"/>
              <w:divBdr>
                <w:top w:val="none" w:sz="0" w:space="0" w:color="auto"/>
                <w:left w:val="none" w:sz="0" w:space="0" w:color="auto"/>
                <w:bottom w:val="none" w:sz="0" w:space="0" w:color="auto"/>
                <w:right w:val="none" w:sz="0" w:space="0" w:color="auto"/>
              </w:divBdr>
            </w:div>
            <w:div w:id="1166702696">
              <w:marLeft w:val="0"/>
              <w:marRight w:val="0"/>
              <w:marTop w:val="0"/>
              <w:marBottom w:val="0"/>
              <w:divBdr>
                <w:top w:val="none" w:sz="0" w:space="0" w:color="auto"/>
                <w:left w:val="none" w:sz="0" w:space="0" w:color="auto"/>
                <w:bottom w:val="none" w:sz="0" w:space="0" w:color="auto"/>
                <w:right w:val="none" w:sz="0" w:space="0" w:color="auto"/>
              </w:divBdr>
            </w:div>
            <w:div w:id="1810971957">
              <w:marLeft w:val="0"/>
              <w:marRight w:val="0"/>
              <w:marTop w:val="0"/>
              <w:marBottom w:val="0"/>
              <w:divBdr>
                <w:top w:val="none" w:sz="0" w:space="0" w:color="auto"/>
                <w:left w:val="none" w:sz="0" w:space="0" w:color="auto"/>
                <w:bottom w:val="none" w:sz="0" w:space="0" w:color="auto"/>
                <w:right w:val="none" w:sz="0" w:space="0" w:color="auto"/>
              </w:divBdr>
              <w:divsChild>
                <w:div w:id="927080556">
                  <w:marLeft w:val="0"/>
                  <w:marRight w:val="0"/>
                  <w:marTop w:val="0"/>
                  <w:marBottom w:val="0"/>
                  <w:divBdr>
                    <w:top w:val="none" w:sz="0" w:space="0" w:color="auto"/>
                    <w:left w:val="none" w:sz="0" w:space="0" w:color="auto"/>
                    <w:bottom w:val="none" w:sz="0" w:space="0" w:color="auto"/>
                    <w:right w:val="none" w:sz="0" w:space="0" w:color="auto"/>
                  </w:divBdr>
                  <w:divsChild>
                    <w:div w:id="12336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4093">
              <w:marLeft w:val="0"/>
              <w:marRight w:val="0"/>
              <w:marTop w:val="0"/>
              <w:marBottom w:val="0"/>
              <w:divBdr>
                <w:top w:val="none" w:sz="0" w:space="0" w:color="auto"/>
                <w:left w:val="none" w:sz="0" w:space="0" w:color="auto"/>
                <w:bottom w:val="none" w:sz="0" w:space="0" w:color="auto"/>
                <w:right w:val="none" w:sz="0" w:space="0" w:color="auto"/>
              </w:divBdr>
            </w:div>
            <w:div w:id="537209179">
              <w:marLeft w:val="0"/>
              <w:marRight w:val="0"/>
              <w:marTop w:val="0"/>
              <w:marBottom w:val="0"/>
              <w:divBdr>
                <w:top w:val="none" w:sz="0" w:space="0" w:color="auto"/>
                <w:left w:val="none" w:sz="0" w:space="0" w:color="auto"/>
                <w:bottom w:val="none" w:sz="0" w:space="0" w:color="auto"/>
                <w:right w:val="none" w:sz="0" w:space="0" w:color="auto"/>
              </w:divBdr>
            </w:div>
            <w:div w:id="392124118">
              <w:marLeft w:val="0"/>
              <w:marRight w:val="0"/>
              <w:marTop w:val="0"/>
              <w:marBottom w:val="0"/>
              <w:divBdr>
                <w:top w:val="none" w:sz="0" w:space="0" w:color="auto"/>
                <w:left w:val="none" w:sz="0" w:space="0" w:color="auto"/>
                <w:bottom w:val="none" w:sz="0" w:space="0" w:color="auto"/>
                <w:right w:val="none" w:sz="0" w:space="0" w:color="auto"/>
              </w:divBdr>
            </w:div>
            <w:div w:id="714088446">
              <w:marLeft w:val="0"/>
              <w:marRight w:val="0"/>
              <w:marTop w:val="0"/>
              <w:marBottom w:val="0"/>
              <w:divBdr>
                <w:top w:val="none" w:sz="0" w:space="0" w:color="auto"/>
                <w:left w:val="none" w:sz="0" w:space="0" w:color="auto"/>
                <w:bottom w:val="none" w:sz="0" w:space="0" w:color="auto"/>
                <w:right w:val="none" w:sz="0" w:space="0" w:color="auto"/>
              </w:divBdr>
              <w:divsChild>
                <w:div w:id="480200206">
                  <w:marLeft w:val="0"/>
                  <w:marRight w:val="0"/>
                  <w:marTop w:val="0"/>
                  <w:marBottom w:val="0"/>
                  <w:divBdr>
                    <w:top w:val="none" w:sz="0" w:space="0" w:color="auto"/>
                    <w:left w:val="none" w:sz="0" w:space="0" w:color="auto"/>
                    <w:bottom w:val="none" w:sz="0" w:space="0" w:color="auto"/>
                    <w:right w:val="none" w:sz="0" w:space="0" w:color="auto"/>
                  </w:divBdr>
                  <w:divsChild>
                    <w:div w:id="282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8553">
              <w:marLeft w:val="0"/>
              <w:marRight w:val="0"/>
              <w:marTop w:val="0"/>
              <w:marBottom w:val="0"/>
              <w:divBdr>
                <w:top w:val="none" w:sz="0" w:space="0" w:color="auto"/>
                <w:left w:val="none" w:sz="0" w:space="0" w:color="auto"/>
                <w:bottom w:val="none" w:sz="0" w:space="0" w:color="auto"/>
                <w:right w:val="none" w:sz="0" w:space="0" w:color="auto"/>
              </w:divBdr>
            </w:div>
            <w:div w:id="12849286">
              <w:marLeft w:val="0"/>
              <w:marRight w:val="0"/>
              <w:marTop w:val="0"/>
              <w:marBottom w:val="0"/>
              <w:divBdr>
                <w:top w:val="none" w:sz="0" w:space="0" w:color="auto"/>
                <w:left w:val="none" w:sz="0" w:space="0" w:color="auto"/>
                <w:bottom w:val="none" w:sz="0" w:space="0" w:color="auto"/>
                <w:right w:val="none" w:sz="0" w:space="0" w:color="auto"/>
              </w:divBdr>
            </w:div>
            <w:div w:id="2024045726">
              <w:marLeft w:val="0"/>
              <w:marRight w:val="0"/>
              <w:marTop w:val="0"/>
              <w:marBottom w:val="0"/>
              <w:divBdr>
                <w:top w:val="none" w:sz="0" w:space="0" w:color="auto"/>
                <w:left w:val="none" w:sz="0" w:space="0" w:color="auto"/>
                <w:bottom w:val="none" w:sz="0" w:space="0" w:color="auto"/>
                <w:right w:val="none" w:sz="0" w:space="0" w:color="auto"/>
              </w:divBdr>
            </w:div>
            <w:div w:id="343673769">
              <w:marLeft w:val="0"/>
              <w:marRight w:val="0"/>
              <w:marTop w:val="0"/>
              <w:marBottom w:val="0"/>
              <w:divBdr>
                <w:top w:val="none" w:sz="0" w:space="0" w:color="auto"/>
                <w:left w:val="none" w:sz="0" w:space="0" w:color="auto"/>
                <w:bottom w:val="none" w:sz="0" w:space="0" w:color="auto"/>
                <w:right w:val="none" w:sz="0" w:space="0" w:color="auto"/>
              </w:divBdr>
              <w:divsChild>
                <w:div w:id="1974480026">
                  <w:marLeft w:val="0"/>
                  <w:marRight w:val="0"/>
                  <w:marTop w:val="0"/>
                  <w:marBottom w:val="0"/>
                  <w:divBdr>
                    <w:top w:val="none" w:sz="0" w:space="0" w:color="auto"/>
                    <w:left w:val="none" w:sz="0" w:space="0" w:color="auto"/>
                    <w:bottom w:val="none" w:sz="0" w:space="0" w:color="auto"/>
                    <w:right w:val="none" w:sz="0" w:space="0" w:color="auto"/>
                  </w:divBdr>
                  <w:divsChild>
                    <w:div w:id="16808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095">
              <w:marLeft w:val="0"/>
              <w:marRight w:val="0"/>
              <w:marTop w:val="0"/>
              <w:marBottom w:val="0"/>
              <w:divBdr>
                <w:top w:val="none" w:sz="0" w:space="0" w:color="auto"/>
                <w:left w:val="none" w:sz="0" w:space="0" w:color="auto"/>
                <w:bottom w:val="none" w:sz="0" w:space="0" w:color="auto"/>
                <w:right w:val="none" w:sz="0" w:space="0" w:color="auto"/>
              </w:divBdr>
            </w:div>
            <w:div w:id="390228173">
              <w:marLeft w:val="0"/>
              <w:marRight w:val="0"/>
              <w:marTop w:val="0"/>
              <w:marBottom w:val="0"/>
              <w:divBdr>
                <w:top w:val="none" w:sz="0" w:space="0" w:color="auto"/>
                <w:left w:val="none" w:sz="0" w:space="0" w:color="auto"/>
                <w:bottom w:val="none" w:sz="0" w:space="0" w:color="auto"/>
                <w:right w:val="none" w:sz="0" w:space="0" w:color="auto"/>
              </w:divBdr>
            </w:div>
            <w:div w:id="759985005">
              <w:marLeft w:val="0"/>
              <w:marRight w:val="0"/>
              <w:marTop w:val="0"/>
              <w:marBottom w:val="0"/>
              <w:divBdr>
                <w:top w:val="none" w:sz="0" w:space="0" w:color="auto"/>
                <w:left w:val="none" w:sz="0" w:space="0" w:color="auto"/>
                <w:bottom w:val="none" w:sz="0" w:space="0" w:color="auto"/>
                <w:right w:val="none" w:sz="0" w:space="0" w:color="auto"/>
              </w:divBdr>
            </w:div>
            <w:div w:id="1400441159">
              <w:marLeft w:val="0"/>
              <w:marRight w:val="0"/>
              <w:marTop w:val="0"/>
              <w:marBottom w:val="0"/>
              <w:divBdr>
                <w:top w:val="none" w:sz="0" w:space="0" w:color="auto"/>
                <w:left w:val="none" w:sz="0" w:space="0" w:color="auto"/>
                <w:bottom w:val="none" w:sz="0" w:space="0" w:color="auto"/>
                <w:right w:val="none" w:sz="0" w:space="0" w:color="auto"/>
              </w:divBdr>
              <w:divsChild>
                <w:div w:id="1669362268">
                  <w:marLeft w:val="0"/>
                  <w:marRight w:val="0"/>
                  <w:marTop w:val="0"/>
                  <w:marBottom w:val="0"/>
                  <w:divBdr>
                    <w:top w:val="none" w:sz="0" w:space="0" w:color="auto"/>
                    <w:left w:val="none" w:sz="0" w:space="0" w:color="auto"/>
                    <w:bottom w:val="none" w:sz="0" w:space="0" w:color="auto"/>
                    <w:right w:val="none" w:sz="0" w:space="0" w:color="auto"/>
                  </w:divBdr>
                  <w:divsChild>
                    <w:div w:id="14709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3106">
              <w:marLeft w:val="0"/>
              <w:marRight w:val="0"/>
              <w:marTop w:val="0"/>
              <w:marBottom w:val="0"/>
              <w:divBdr>
                <w:top w:val="none" w:sz="0" w:space="0" w:color="auto"/>
                <w:left w:val="none" w:sz="0" w:space="0" w:color="auto"/>
                <w:bottom w:val="none" w:sz="0" w:space="0" w:color="auto"/>
                <w:right w:val="none" w:sz="0" w:space="0" w:color="auto"/>
              </w:divBdr>
            </w:div>
            <w:div w:id="1180974739">
              <w:marLeft w:val="0"/>
              <w:marRight w:val="0"/>
              <w:marTop w:val="0"/>
              <w:marBottom w:val="0"/>
              <w:divBdr>
                <w:top w:val="none" w:sz="0" w:space="0" w:color="auto"/>
                <w:left w:val="none" w:sz="0" w:space="0" w:color="auto"/>
                <w:bottom w:val="none" w:sz="0" w:space="0" w:color="auto"/>
                <w:right w:val="none" w:sz="0" w:space="0" w:color="auto"/>
              </w:divBdr>
            </w:div>
            <w:div w:id="658385222">
              <w:marLeft w:val="0"/>
              <w:marRight w:val="0"/>
              <w:marTop w:val="0"/>
              <w:marBottom w:val="0"/>
              <w:divBdr>
                <w:top w:val="none" w:sz="0" w:space="0" w:color="auto"/>
                <w:left w:val="none" w:sz="0" w:space="0" w:color="auto"/>
                <w:bottom w:val="none" w:sz="0" w:space="0" w:color="auto"/>
                <w:right w:val="none" w:sz="0" w:space="0" w:color="auto"/>
              </w:divBdr>
            </w:div>
            <w:div w:id="1244335885">
              <w:marLeft w:val="0"/>
              <w:marRight w:val="0"/>
              <w:marTop w:val="0"/>
              <w:marBottom w:val="0"/>
              <w:divBdr>
                <w:top w:val="none" w:sz="0" w:space="0" w:color="auto"/>
                <w:left w:val="none" w:sz="0" w:space="0" w:color="auto"/>
                <w:bottom w:val="none" w:sz="0" w:space="0" w:color="auto"/>
                <w:right w:val="none" w:sz="0" w:space="0" w:color="auto"/>
              </w:divBdr>
              <w:divsChild>
                <w:div w:id="319893779">
                  <w:marLeft w:val="0"/>
                  <w:marRight w:val="0"/>
                  <w:marTop w:val="0"/>
                  <w:marBottom w:val="0"/>
                  <w:divBdr>
                    <w:top w:val="none" w:sz="0" w:space="0" w:color="auto"/>
                    <w:left w:val="none" w:sz="0" w:space="0" w:color="auto"/>
                    <w:bottom w:val="none" w:sz="0" w:space="0" w:color="auto"/>
                    <w:right w:val="none" w:sz="0" w:space="0" w:color="auto"/>
                  </w:divBdr>
                  <w:divsChild>
                    <w:div w:id="769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5716">
      <w:bodyDiv w:val="1"/>
      <w:marLeft w:val="0"/>
      <w:marRight w:val="0"/>
      <w:marTop w:val="0"/>
      <w:marBottom w:val="0"/>
      <w:divBdr>
        <w:top w:val="none" w:sz="0" w:space="0" w:color="auto"/>
        <w:left w:val="none" w:sz="0" w:space="0" w:color="auto"/>
        <w:bottom w:val="none" w:sz="0" w:space="0" w:color="auto"/>
        <w:right w:val="none" w:sz="0" w:space="0" w:color="auto"/>
      </w:divBdr>
      <w:divsChild>
        <w:div w:id="1871995219">
          <w:marLeft w:val="0"/>
          <w:marRight w:val="0"/>
          <w:marTop w:val="0"/>
          <w:marBottom w:val="0"/>
          <w:divBdr>
            <w:top w:val="none" w:sz="0" w:space="0" w:color="auto"/>
            <w:left w:val="none" w:sz="0" w:space="0" w:color="auto"/>
            <w:bottom w:val="none" w:sz="0" w:space="0" w:color="auto"/>
            <w:right w:val="none" w:sz="0" w:space="0" w:color="auto"/>
          </w:divBdr>
        </w:div>
        <w:div w:id="1584492159">
          <w:marLeft w:val="0"/>
          <w:marRight w:val="0"/>
          <w:marTop w:val="0"/>
          <w:marBottom w:val="0"/>
          <w:divBdr>
            <w:top w:val="none" w:sz="0" w:space="0" w:color="auto"/>
            <w:left w:val="none" w:sz="0" w:space="0" w:color="auto"/>
            <w:bottom w:val="none" w:sz="0" w:space="0" w:color="auto"/>
            <w:right w:val="none" w:sz="0" w:space="0" w:color="auto"/>
          </w:divBdr>
        </w:div>
        <w:div w:id="560485865">
          <w:marLeft w:val="0"/>
          <w:marRight w:val="0"/>
          <w:marTop w:val="0"/>
          <w:marBottom w:val="0"/>
          <w:divBdr>
            <w:top w:val="none" w:sz="0" w:space="0" w:color="auto"/>
            <w:left w:val="none" w:sz="0" w:space="0" w:color="auto"/>
            <w:bottom w:val="none" w:sz="0" w:space="0" w:color="auto"/>
            <w:right w:val="none" w:sz="0" w:space="0" w:color="auto"/>
          </w:divBdr>
        </w:div>
        <w:div w:id="2086996475">
          <w:marLeft w:val="0"/>
          <w:marRight w:val="0"/>
          <w:marTop w:val="0"/>
          <w:marBottom w:val="0"/>
          <w:divBdr>
            <w:top w:val="none" w:sz="0" w:space="0" w:color="auto"/>
            <w:left w:val="none" w:sz="0" w:space="0" w:color="auto"/>
            <w:bottom w:val="none" w:sz="0" w:space="0" w:color="auto"/>
            <w:right w:val="none" w:sz="0" w:space="0" w:color="auto"/>
          </w:divBdr>
        </w:div>
        <w:div w:id="1582181216">
          <w:marLeft w:val="0"/>
          <w:marRight w:val="0"/>
          <w:marTop w:val="0"/>
          <w:marBottom w:val="0"/>
          <w:divBdr>
            <w:top w:val="none" w:sz="0" w:space="0" w:color="auto"/>
            <w:left w:val="none" w:sz="0" w:space="0" w:color="auto"/>
            <w:bottom w:val="none" w:sz="0" w:space="0" w:color="auto"/>
            <w:right w:val="none" w:sz="0" w:space="0" w:color="auto"/>
          </w:divBdr>
        </w:div>
        <w:div w:id="121583133">
          <w:marLeft w:val="0"/>
          <w:marRight w:val="0"/>
          <w:marTop w:val="0"/>
          <w:marBottom w:val="0"/>
          <w:divBdr>
            <w:top w:val="none" w:sz="0" w:space="0" w:color="auto"/>
            <w:left w:val="none" w:sz="0" w:space="0" w:color="auto"/>
            <w:bottom w:val="none" w:sz="0" w:space="0" w:color="auto"/>
            <w:right w:val="none" w:sz="0" w:space="0" w:color="auto"/>
          </w:divBdr>
        </w:div>
      </w:divsChild>
    </w:div>
    <w:div w:id="18102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11482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Heidenreich</dc:creator>
  <cp:lastModifiedBy>Martin Heidenreich</cp:lastModifiedBy>
  <cp:revision>5</cp:revision>
  <dcterms:created xsi:type="dcterms:W3CDTF">2016-09-24T12:32:00Z</dcterms:created>
  <dcterms:modified xsi:type="dcterms:W3CDTF">2016-10-04T12:04:00Z</dcterms:modified>
</cp:coreProperties>
</file>